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62" w:rsidRPr="00541F27" w:rsidRDefault="00BC2162" w:rsidP="00BC2162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DOCUMENTO GUIA</w:t>
      </w:r>
    </w:p>
    <w:p w:rsidR="00BC2162" w:rsidRPr="00541F27" w:rsidRDefault="00BC2162" w:rsidP="00BC2162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BC2162" w:rsidRPr="00541F27" w:rsidRDefault="00BC2162" w:rsidP="00BC2162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BC2162" w:rsidRPr="00541F27" w:rsidRDefault="00BC2162" w:rsidP="00BC2162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BC2162" w:rsidRPr="00541F27" w:rsidRDefault="00BC2162" w:rsidP="00BC2162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INFORMACIÓN RESPECTO</w:t>
      </w:r>
      <w:r w:rsidRPr="00541F27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/>
        </w:rPr>
        <w:t>DE LA ADOPCIÓN</w:t>
      </w:r>
      <w:r w:rsidRPr="00541F27">
        <w:rPr>
          <w:rFonts w:ascii="Arial" w:hAnsi="Arial" w:cs="Arial"/>
          <w:b/>
          <w:sz w:val="22"/>
          <w:szCs w:val="22"/>
          <w:lang w:val="es-ES_tradnl"/>
        </w:rPr>
        <w:t xml:space="preserve"> DE </w:t>
      </w:r>
      <w:r>
        <w:rPr>
          <w:rFonts w:ascii="Arial" w:hAnsi="Arial" w:cs="Arial"/>
          <w:b/>
          <w:sz w:val="22"/>
          <w:szCs w:val="22"/>
          <w:lang w:val="es-ES_tradnl"/>
        </w:rPr>
        <w:t>PRÁCTICAS</w:t>
      </w:r>
      <w:r w:rsidRPr="00541F27">
        <w:rPr>
          <w:rFonts w:ascii="Arial" w:hAnsi="Arial" w:cs="Arial"/>
          <w:b/>
          <w:sz w:val="22"/>
          <w:szCs w:val="22"/>
          <w:lang w:val="es-ES_tradnl"/>
        </w:rPr>
        <w:t xml:space="preserve"> DE GOBIERNO CORPORATIVO</w:t>
      </w:r>
    </w:p>
    <w:p w:rsidR="00BC2162" w:rsidRDefault="00BC2162" w:rsidP="00BC2162">
      <w:pPr>
        <w:pStyle w:val="Textodebloque"/>
        <w:tabs>
          <w:tab w:val="clear" w:pos="170"/>
          <w:tab w:val="clear" w:pos="737"/>
          <w:tab w:val="clear" w:pos="1304"/>
          <w:tab w:val="clear" w:pos="1871"/>
          <w:tab w:val="clear" w:pos="2438"/>
          <w:tab w:val="clear" w:pos="3005"/>
          <w:tab w:val="clear" w:pos="3572"/>
          <w:tab w:val="left" w:pos="9356"/>
        </w:tabs>
        <w:ind w:left="0" w:right="4" w:firstLine="1701"/>
        <w:rPr>
          <w:rFonts w:ascii="Arial" w:hAnsi="Arial" w:cs="Arial"/>
          <w:sz w:val="22"/>
          <w:szCs w:val="22"/>
          <w:lang w:val="es-MX"/>
        </w:rPr>
      </w:pPr>
    </w:p>
    <w:p w:rsidR="00BC2162" w:rsidRDefault="00BC2162" w:rsidP="00BC2162">
      <w:pPr>
        <w:pStyle w:val="Textodebloque"/>
        <w:tabs>
          <w:tab w:val="clear" w:pos="170"/>
          <w:tab w:val="clear" w:pos="737"/>
          <w:tab w:val="clear" w:pos="1304"/>
          <w:tab w:val="clear" w:pos="1871"/>
          <w:tab w:val="clear" w:pos="2438"/>
          <w:tab w:val="clear" w:pos="3005"/>
          <w:tab w:val="clear" w:pos="3572"/>
          <w:tab w:val="left" w:pos="9356"/>
        </w:tabs>
        <w:ind w:left="0" w:right="4" w:firstLine="1701"/>
        <w:rPr>
          <w:rFonts w:ascii="Arial" w:hAnsi="Arial" w:cs="Arial"/>
          <w:sz w:val="22"/>
          <w:szCs w:val="22"/>
          <w:lang w:val="es-MX"/>
        </w:rPr>
      </w:pPr>
      <w:r w:rsidRPr="006B52F6">
        <w:rPr>
          <w:rFonts w:ascii="Arial" w:hAnsi="Arial" w:cs="Arial"/>
          <w:sz w:val="22"/>
          <w:szCs w:val="22"/>
          <w:lang w:val="es-MX"/>
        </w:rPr>
        <w:t>Las entidades deberán indicar con una “</w:t>
      </w:r>
      <w:r>
        <w:rPr>
          <w:rFonts w:ascii="Arial" w:hAnsi="Arial" w:cs="Arial"/>
          <w:sz w:val="22"/>
          <w:szCs w:val="22"/>
          <w:lang w:val="es-MX"/>
        </w:rPr>
        <w:t>X</w:t>
      </w:r>
      <w:r w:rsidRPr="006B52F6">
        <w:rPr>
          <w:rFonts w:ascii="Arial" w:hAnsi="Arial" w:cs="Arial"/>
          <w:sz w:val="22"/>
          <w:szCs w:val="22"/>
          <w:lang w:val="es-MX"/>
        </w:rPr>
        <w:t xml:space="preserve">” </w:t>
      </w:r>
      <w:r>
        <w:rPr>
          <w:rFonts w:ascii="Arial" w:hAnsi="Arial" w:cs="Arial"/>
          <w:sz w:val="22"/>
          <w:szCs w:val="22"/>
          <w:lang w:val="es-MX"/>
        </w:rPr>
        <w:t>su decisión respecto a la adopción de cada práctica,</w:t>
      </w:r>
      <w:r w:rsidRPr="006B52F6">
        <w:rPr>
          <w:rFonts w:ascii="Arial" w:hAnsi="Arial" w:cs="Arial"/>
          <w:sz w:val="22"/>
          <w:szCs w:val="22"/>
          <w:lang w:val="es-MX"/>
        </w:rPr>
        <w:t xml:space="preserve"> bas</w:t>
      </w:r>
      <w:r>
        <w:rPr>
          <w:rFonts w:ascii="Arial" w:hAnsi="Arial" w:cs="Arial"/>
          <w:sz w:val="22"/>
          <w:szCs w:val="22"/>
          <w:lang w:val="es-MX"/>
        </w:rPr>
        <w:t>ándose</w:t>
      </w:r>
      <w:r w:rsidRPr="006B52F6">
        <w:rPr>
          <w:rFonts w:ascii="Arial" w:hAnsi="Arial" w:cs="Arial"/>
          <w:sz w:val="22"/>
          <w:szCs w:val="22"/>
          <w:lang w:val="es-MX"/>
        </w:rPr>
        <w:t xml:space="preserve"> en lo siguiente:</w:t>
      </w:r>
    </w:p>
    <w:p w:rsidR="00BC2162" w:rsidRPr="006B52F6" w:rsidRDefault="00BC2162" w:rsidP="00BC2162">
      <w:pPr>
        <w:pStyle w:val="Textodebloque"/>
        <w:tabs>
          <w:tab w:val="clear" w:pos="170"/>
          <w:tab w:val="clear" w:pos="737"/>
          <w:tab w:val="clear" w:pos="1304"/>
          <w:tab w:val="clear" w:pos="1871"/>
          <w:tab w:val="clear" w:pos="2438"/>
          <w:tab w:val="clear" w:pos="3005"/>
          <w:tab w:val="clear" w:pos="3572"/>
          <w:tab w:val="left" w:pos="9356"/>
        </w:tabs>
        <w:ind w:left="0" w:right="4" w:firstLine="1701"/>
        <w:rPr>
          <w:rFonts w:ascii="Arial" w:hAnsi="Arial" w:cs="Arial"/>
          <w:sz w:val="22"/>
          <w:szCs w:val="22"/>
          <w:lang w:val="es-MX"/>
        </w:rPr>
      </w:pPr>
    </w:p>
    <w:p w:rsidR="00BC2162" w:rsidRPr="00D937CF" w:rsidRDefault="00BC2162" w:rsidP="00BC2162">
      <w:pPr>
        <w:pStyle w:val="Textodebloque"/>
        <w:tabs>
          <w:tab w:val="clear" w:pos="170"/>
          <w:tab w:val="clear" w:pos="737"/>
          <w:tab w:val="clear" w:pos="1304"/>
          <w:tab w:val="clear" w:pos="1871"/>
          <w:tab w:val="clear" w:pos="2438"/>
          <w:tab w:val="clear" w:pos="3005"/>
          <w:tab w:val="clear" w:pos="3572"/>
          <w:tab w:val="left" w:pos="2268"/>
          <w:tab w:val="left" w:pos="9356"/>
        </w:tabs>
        <w:ind w:right="4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SI</w:t>
      </w:r>
      <w:r w:rsidRPr="00D937CF">
        <w:rPr>
          <w:rFonts w:ascii="Arial" w:hAnsi="Arial" w:cs="Arial"/>
          <w:b/>
          <w:sz w:val="22"/>
          <w:szCs w:val="22"/>
          <w:lang w:val="es-MX"/>
        </w:rPr>
        <w:t>)</w:t>
      </w:r>
      <w:r w:rsidRPr="00D937CF">
        <w:rPr>
          <w:rFonts w:ascii="Arial" w:hAnsi="Arial" w:cs="Arial"/>
          <w:sz w:val="22"/>
          <w:szCs w:val="22"/>
          <w:lang w:val="es-MX"/>
        </w:rPr>
        <w:t xml:space="preserve"> </w:t>
      </w:r>
      <w:r w:rsidRPr="00D937CF">
        <w:rPr>
          <w:rFonts w:ascii="Arial" w:hAnsi="Arial" w:cs="Arial"/>
          <w:sz w:val="22"/>
          <w:szCs w:val="22"/>
          <w:u w:val="single"/>
          <w:lang w:val="es-MX"/>
        </w:rPr>
        <w:t xml:space="preserve">La </w:t>
      </w:r>
      <w:r>
        <w:rPr>
          <w:rFonts w:ascii="Arial" w:hAnsi="Arial" w:cs="Arial"/>
          <w:sz w:val="22"/>
          <w:szCs w:val="22"/>
          <w:u w:val="single"/>
          <w:lang w:val="es-MX"/>
        </w:rPr>
        <w:t>sociedad</w:t>
      </w:r>
      <w:r w:rsidRPr="00D937CF">
        <w:rPr>
          <w:rFonts w:ascii="Arial" w:hAnsi="Arial" w:cs="Arial"/>
          <w:sz w:val="22"/>
          <w:szCs w:val="22"/>
          <w:u w:val="single"/>
          <w:lang w:val="es-MX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es-MX"/>
        </w:rPr>
        <w:t>está adoptando</w:t>
      </w:r>
      <w:r w:rsidRPr="00D937CF">
        <w:rPr>
          <w:rFonts w:ascii="Arial" w:hAnsi="Arial" w:cs="Arial"/>
          <w:sz w:val="22"/>
          <w:szCs w:val="22"/>
          <w:u w:val="single"/>
          <w:lang w:val="es-MX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es-MX"/>
        </w:rPr>
        <w:t>la práctica</w:t>
      </w:r>
      <w:r w:rsidRPr="00D937CF">
        <w:rPr>
          <w:rFonts w:ascii="Arial" w:hAnsi="Arial" w:cs="Arial"/>
          <w:sz w:val="22"/>
          <w:szCs w:val="22"/>
          <w:lang w:val="es-MX"/>
        </w:rPr>
        <w:t>: La sociedad</w:t>
      </w:r>
      <w:r>
        <w:rPr>
          <w:rFonts w:ascii="Arial" w:hAnsi="Arial" w:cs="Arial"/>
          <w:sz w:val="22"/>
          <w:szCs w:val="22"/>
          <w:lang w:val="es-MX"/>
        </w:rPr>
        <w:t xml:space="preserve"> ha diseñado procedimientos, sistemas, políticas o condiciones que abordan la mayoría de los elementos descr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>itos en la práctica en cuestión, y éstos se encuentran implementados en un grado significativo.</w:t>
      </w:r>
    </w:p>
    <w:p w:rsidR="00BC2162" w:rsidRPr="00D937CF" w:rsidRDefault="00BC2162" w:rsidP="00BC2162">
      <w:pPr>
        <w:pStyle w:val="Textodebloque"/>
        <w:tabs>
          <w:tab w:val="clear" w:pos="170"/>
          <w:tab w:val="clear" w:pos="737"/>
          <w:tab w:val="clear" w:pos="1304"/>
          <w:tab w:val="clear" w:pos="1871"/>
          <w:tab w:val="clear" w:pos="2438"/>
          <w:tab w:val="clear" w:pos="3005"/>
          <w:tab w:val="clear" w:pos="3572"/>
          <w:tab w:val="left" w:pos="2268"/>
          <w:tab w:val="left" w:pos="9356"/>
        </w:tabs>
        <w:ind w:right="4"/>
        <w:rPr>
          <w:rFonts w:ascii="Arial" w:hAnsi="Arial" w:cs="Arial"/>
          <w:sz w:val="22"/>
          <w:szCs w:val="22"/>
          <w:lang w:val="es-MX"/>
        </w:rPr>
      </w:pPr>
    </w:p>
    <w:p w:rsidR="00BC2162" w:rsidRPr="00A8793A" w:rsidRDefault="00BC2162" w:rsidP="00BC2162">
      <w:pPr>
        <w:pStyle w:val="Textodebloque"/>
        <w:tabs>
          <w:tab w:val="clear" w:pos="170"/>
          <w:tab w:val="clear" w:pos="737"/>
          <w:tab w:val="clear" w:pos="1304"/>
          <w:tab w:val="clear" w:pos="1871"/>
          <w:tab w:val="clear" w:pos="2438"/>
          <w:tab w:val="clear" w:pos="3005"/>
          <w:tab w:val="clear" w:pos="3572"/>
          <w:tab w:val="left" w:pos="2268"/>
          <w:tab w:val="left" w:pos="9356"/>
        </w:tabs>
        <w:ind w:right="4"/>
        <w:rPr>
          <w:rFonts w:ascii="Arial" w:hAnsi="Arial" w:cs="Arial"/>
          <w:sz w:val="22"/>
          <w:szCs w:val="22"/>
          <w:u w:val="single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NO</w:t>
      </w:r>
      <w:r w:rsidRPr="00D937CF">
        <w:rPr>
          <w:rFonts w:ascii="Arial" w:hAnsi="Arial" w:cs="Arial"/>
          <w:b/>
          <w:sz w:val="22"/>
          <w:szCs w:val="22"/>
          <w:lang w:val="es-MX"/>
        </w:rPr>
        <w:t>)</w:t>
      </w:r>
      <w:r w:rsidRPr="00D937CF">
        <w:rPr>
          <w:rFonts w:ascii="Arial" w:hAnsi="Arial" w:cs="Arial"/>
          <w:sz w:val="22"/>
          <w:szCs w:val="22"/>
          <w:lang w:val="es-MX"/>
        </w:rPr>
        <w:t xml:space="preserve"> </w:t>
      </w:r>
      <w:r w:rsidRPr="00D937CF">
        <w:rPr>
          <w:rFonts w:ascii="Arial" w:hAnsi="Arial" w:cs="Arial"/>
          <w:sz w:val="22"/>
          <w:szCs w:val="22"/>
          <w:u w:val="single"/>
          <w:lang w:val="es-MX"/>
        </w:rPr>
        <w:t xml:space="preserve">La </w:t>
      </w:r>
      <w:r>
        <w:rPr>
          <w:rFonts w:ascii="Arial" w:hAnsi="Arial" w:cs="Arial"/>
          <w:sz w:val="22"/>
          <w:szCs w:val="22"/>
          <w:u w:val="single"/>
          <w:lang w:val="es-MX"/>
        </w:rPr>
        <w:t>sociedad</w:t>
      </w:r>
      <w:r w:rsidRPr="00D937CF">
        <w:rPr>
          <w:rFonts w:ascii="Arial" w:hAnsi="Arial" w:cs="Arial"/>
          <w:sz w:val="22"/>
          <w:szCs w:val="22"/>
          <w:u w:val="single"/>
          <w:lang w:val="es-MX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es-MX"/>
        </w:rPr>
        <w:t>no adopta la práctica o todavía está en vías de hacerlo</w:t>
      </w:r>
      <w:r w:rsidRPr="00D937CF">
        <w:rPr>
          <w:rFonts w:ascii="Arial" w:hAnsi="Arial" w:cs="Arial"/>
          <w:sz w:val="22"/>
          <w:szCs w:val="22"/>
          <w:lang w:val="es-MX"/>
        </w:rPr>
        <w:t>: La sociedad</w:t>
      </w:r>
      <w:r>
        <w:rPr>
          <w:rFonts w:ascii="Arial" w:hAnsi="Arial" w:cs="Arial"/>
          <w:sz w:val="22"/>
          <w:szCs w:val="22"/>
          <w:lang w:val="es-MX"/>
        </w:rPr>
        <w:t xml:space="preserve"> no ha adoptado la práctica, </w:t>
      </w:r>
      <w:r w:rsidRPr="00D937CF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cuenta con una práctica distinta a la indicada o está en proceso de adopción de ésta pero su diseño o implementación no está en el estado requerido por la definición anterior.</w:t>
      </w:r>
    </w:p>
    <w:p w:rsidR="00BC2162" w:rsidRPr="00D937CF" w:rsidRDefault="00BC2162" w:rsidP="00BC2162">
      <w:pPr>
        <w:pStyle w:val="Textodebloque"/>
        <w:tabs>
          <w:tab w:val="clear" w:pos="170"/>
          <w:tab w:val="clear" w:pos="737"/>
          <w:tab w:val="clear" w:pos="1304"/>
          <w:tab w:val="clear" w:pos="1871"/>
          <w:tab w:val="clear" w:pos="2438"/>
          <w:tab w:val="clear" w:pos="3005"/>
          <w:tab w:val="clear" w:pos="3572"/>
          <w:tab w:val="left" w:pos="2268"/>
          <w:tab w:val="left" w:pos="9356"/>
        </w:tabs>
        <w:ind w:right="4"/>
        <w:jc w:val="left"/>
        <w:rPr>
          <w:rFonts w:ascii="Arial" w:hAnsi="Arial" w:cs="Arial"/>
          <w:sz w:val="22"/>
          <w:szCs w:val="22"/>
          <w:u w:val="single"/>
          <w:lang w:val="es-MX"/>
        </w:rPr>
      </w:pPr>
    </w:p>
    <w:p w:rsidR="00BC2162" w:rsidRPr="006B52F6" w:rsidRDefault="00BC2162" w:rsidP="00BC2162">
      <w:pPr>
        <w:pStyle w:val="Textodebloque"/>
        <w:tabs>
          <w:tab w:val="clear" w:pos="170"/>
          <w:tab w:val="clear" w:pos="737"/>
          <w:tab w:val="clear" w:pos="1304"/>
          <w:tab w:val="clear" w:pos="1871"/>
          <w:tab w:val="clear" w:pos="2438"/>
          <w:tab w:val="clear" w:pos="3005"/>
          <w:tab w:val="clear" w:pos="3572"/>
          <w:tab w:val="left" w:pos="9356"/>
        </w:tabs>
        <w:ind w:left="0" w:right="4" w:firstLine="1701"/>
        <w:rPr>
          <w:rFonts w:ascii="Arial" w:hAnsi="Arial" w:cs="Arial"/>
          <w:sz w:val="22"/>
          <w:szCs w:val="22"/>
          <w:lang w:val="es-MX"/>
        </w:rPr>
      </w:pPr>
      <w:r w:rsidRPr="006B52F6">
        <w:rPr>
          <w:rFonts w:ascii="Arial" w:hAnsi="Arial" w:cs="Arial"/>
          <w:sz w:val="22"/>
          <w:szCs w:val="22"/>
          <w:lang w:val="es-MX"/>
        </w:rPr>
        <w:t>Asimismo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6B52F6">
        <w:rPr>
          <w:rFonts w:ascii="Arial" w:hAnsi="Arial" w:cs="Arial"/>
          <w:sz w:val="22"/>
          <w:szCs w:val="22"/>
          <w:lang w:val="es-MX"/>
        </w:rPr>
        <w:t xml:space="preserve"> se deberá explicar</w:t>
      </w:r>
      <w:r>
        <w:rPr>
          <w:rFonts w:ascii="Arial" w:hAnsi="Arial" w:cs="Arial"/>
          <w:sz w:val="22"/>
          <w:szCs w:val="22"/>
          <w:lang w:val="es-MX"/>
        </w:rPr>
        <w:t xml:space="preserve"> de manera clara y resumida</w:t>
      </w:r>
      <w:r w:rsidRPr="006B52F6">
        <w:rPr>
          <w:rFonts w:ascii="Arial" w:hAnsi="Arial" w:cs="Arial"/>
          <w:sz w:val="22"/>
          <w:szCs w:val="22"/>
          <w:lang w:val="es-MX"/>
        </w:rPr>
        <w:t xml:space="preserve"> la forma en que se </w:t>
      </w:r>
      <w:r>
        <w:rPr>
          <w:rFonts w:ascii="Arial" w:hAnsi="Arial" w:cs="Arial"/>
          <w:sz w:val="22"/>
          <w:szCs w:val="22"/>
          <w:lang w:val="es-MX"/>
        </w:rPr>
        <w:t>ha adoptado la práctica,</w:t>
      </w:r>
      <w:r w:rsidRPr="006B52F6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 xml:space="preserve">en caso de respuestas afirmativas, o </w:t>
      </w:r>
      <w:r w:rsidRPr="006B52F6">
        <w:rPr>
          <w:rFonts w:ascii="Arial" w:hAnsi="Arial" w:cs="Arial"/>
          <w:sz w:val="22"/>
          <w:szCs w:val="22"/>
          <w:lang w:val="es-MX"/>
        </w:rPr>
        <w:t xml:space="preserve">las razones por las que </w:t>
      </w:r>
      <w:r>
        <w:rPr>
          <w:rFonts w:ascii="Arial" w:hAnsi="Arial" w:cs="Arial"/>
          <w:sz w:val="22"/>
          <w:szCs w:val="22"/>
          <w:lang w:val="es-MX"/>
        </w:rPr>
        <w:t>no se ha adoptado o el estado actual de avance sobre la materia y la práctica que está aplicando, según corresponda, en caso de respuestas negativas</w:t>
      </w:r>
      <w:r w:rsidRPr="006B52F6">
        <w:rPr>
          <w:rFonts w:ascii="Arial" w:hAnsi="Arial" w:cs="Arial"/>
          <w:sz w:val="22"/>
          <w:szCs w:val="22"/>
          <w:lang w:val="es-MX"/>
        </w:rPr>
        <w:t>.</w:t>
      </w:r>
    </w:p>
    <w:p w:rsidR="00BC2162" w:rsidRPr="00A8793A" w:rsidRDefault="00BC2162" w:rsidP="00BC2162">
      <w:pPr>
        <w:pStyle w:val="Textodebloque"/>
        <w:tabs>
          <w:tab w:val="clear" w:pos="170"/>
          <w:tab w:val="clear" w:pos="737"/>
          <w:tab w:val="clear" w:pos="1304"/>
          <w:tab w:val="clear" w:pos="1871"/>
          <w:tab w:val="clear" w:pos="2438"/>
          <w:tab w:val="clear" w:pos="3005"/>
          <w:tab w:val="clear" w:pos="3572"/>
          <w:tab w:val="left" w:pos="0"/>
          <w:tab w:val="left" w:pos="851"/>
          <w:tab w:val="left" w:pos="1418"/>
          <w:tab w:val="left" w:pos="1985"/>
          <w:tab w:val="left" w:pos="2552"/>
          <w:tab w:val="left" w:pos="9356"/>
        </w:tabs>
        <w:ind w:left="0" w:right="4" w:firstLine="0"/>
        <w:rPr>
          <w:rFonts w:ascii="Arial" w:hAnsi="Arial" w:cs="Arial"/>
          <w:iCs/>
          <w:sz w:val="22"/>
          <w:szCs w:val="22"/>
          <w:lang w:val="es-MX"/>
        </w:rPr>
      </w:pPr>
    </w:p>
    <w:p w:rsidR="00BC2162" w:rsidRPr="00A8793A" w:rsidRDefault="00BC2162" w:rsidP="00BC2162">
      <w:pPr>
        <w:pStyle w:val="Textodebloque"/>
        <w:tabs>
          <w:tab w:val="clear" w:pos="170"/>
          <w:tab w:val="clear" w:pos="737"/>
          <w:tab w:val="clear" w:pos="1304"/>
          <w:tab w:val="clear" w:pos="1871"/>
          <w:tab w:val="clear" w:pos="2438"/>
          <w:tab w:val="clear" w:pos="3005"/>
          <w:tab w:val="clear" w:pos="3572"/>
          <w:tab w:val="left" w:pos="0"/>
          <w:tab w:val="left" w:pos="851"/>
          <w:tab w:val="left" w:pos="1418"/>
          <w:tab w:val="left" w:pos="1985"/>
          <w:tab w:val="left" w:pos="2552"/>
          <w:tab w:val="left" w:pos="9356"/>
        </w:tabs>
        <w:ind w:left="0" w:right="4" w:firstLine="0"/>
        <w:rPr>
          <w:rFonts w:ascii="Arial" w:hAnsi="Arial" w:cs="Arial"/>
          <w:iCs/>
          <w:sz w:val="22"/>
          <w:szCs w:val="22"/>
          <w:lang w:val="es-MX"/>
        </w:rPr>
      </w:pPr>
    </w:p>
    <w:tbl>
      <w:tblPr>
        <w:tblW w:w="500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8283"/>
        <w:gridCol w:w="12"/>
        <w:gridCol w:w="663"/>
        <w:gridCol w:w="634"/>
      </w:tblGrid>
      <w:tr w:rsidR="00BC2162" w:rsidRPr="00922D2D" w:rsidTr="00C430D2">
        <w:trPr>
          <w:trHeight w:val="465"/>
          <w:tblHeader/>
        </w:trPr>
        <w:tc>
          <w:tcPr>
            <w:tcW w:w="43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Práctica</w:t>
            </w:r>
          </w:p>
        </w:tc>
        <w:tc>
          <w:tcPr>
            <w:tcW w:w="66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Adopción</w:t>
            </w:r>
          </w:p>
        </w:tc>
      </w:tr>
      <w:tr w:rsidR="00BC2162" w:rsidRPr="00922D2D" w:rsidTr="00C430D2">
        <w:trPr>
          <w:trHeight w:val="315"/>
          <w:tblHeader/>
        </w:trPr>
        <w:tc>
          <w:tcPr>
            <w:tcW w:w="43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SI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NO</w:t>
            </w:r>
          </w:p>
        </w:tc>
      </w:tr>
      <w:tr w:rsidR="00BC2162" w:rsidRPr="00922D2D" w:rsidTr="00C430D2">
        <w:trPr>
          <w:trHeight w:val="50"/>
          <w:tblHeader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D2FC5" w:rsidRDefault="00BC2162" w:rsidP="00C430D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</w:p>
        </w:tc>
      </w:tr>
      <w:tr w:rsidR="00BC2162" w:rsidRPr="00922D2D" w:rsidTr="00C430D2">
        <w:trPr>
          <w:trHeight w:val="96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801A06" w:rsidRDefault="00BC2162" w:rsidP="00BC216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 w:rsidRPr="00801A0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  <w:t>Del funcionamiento del Directorio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162" w:rsidRPr="00922D2D" w:rsidRDefault="00BC2162" w:rsidP="00C430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  <w:r w:rsidRPr="00922D2D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 </w:t>
            </w:r>
          </w:p>
        </w:tc>
        <w:tc>
          <w:tcPr>
            <w:tcW w:w="490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A.</w:t>
            </w:r>
            <w:r w:rsidRPr="00922D2D">
              <w:rPr>
                <w:b/>
                <w:bCs/>
                <w:color w:val="000000"/>
                <w:sz w:val="14"/>
                <w:szCs w:val="14"/>
                <w:lang w:val="es-CL"/>
              </w:rPr>
              <w:t xml:space="preserve">   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De la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adecuada y oportuna inform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ación del directorio, acerca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de los negocios y riesgos de la sociedad,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así como 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de sus principales políticas, controles y procedimientos.</w:t>
            </w:r>
          </w:p>
        </w:tc>
      </w:tr>
      <w:tr w:rsidR="00BC2162" w:rsidRPr="00922D2D" w:rsidTr="00C430D2">
        <w:trPr>
          <w:trHeight w:val="1035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a)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El directorio cuenta con un procedimiento</w:t>
            </w:r>
            <w:r>
              <w:rPr>
                <w:rFonts w:ascii="Arial" w:hAnsi="Arial" w:cs="Arial"/>
                <w:color w:val="000000"/>
                <w:lang w:val="es-CL"/>
              </w:rPr>
              <w:t>/mecanismo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para la inducción de cada nuevo director, por medio del cual éste se informe respecto de la sociedad, sus negocios, riesgos, políticas, procedimientos, principales criterios contables y del marco jurídico vigente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más relevante y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aplicable a la sociedad y al directorio. 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  <w:p w:rsidR="00BC2162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  <w:p w:rsidR="00BC2162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BC2162" w:rsidRPr="00922D2D" w:rsidTr="00C430D2">
        <w:trPr>
          <w:trHeight w:val="78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>b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El directorio cuenta con </w:t>
            </w:r>
            <w:r>
              <w:rPr>
                <w:rFonts w:ascii="Arial" w:hAnsi="Arial" w:cs="Arial"/>
                <w:color w:val="000000"/>
                <w:lang w:val="es-CL"/>
              </w:rPr>
              <w:t>una política para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la contratación de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asesores especialistas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en materias contables, financieras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 y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legales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 que, entre otros aspectos, contemple la asignación de un presupuesto especial y suficiente para esos efectos. Además, dicha política es revisada anualmente, en función de las necesidades que para ello se prevean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.</w:t>
            </w:r>
          </w:p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162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>c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El directorio se reúne </w:t>
            </w:r>
            <w:r>
              <w:rPr>
                <w:rFonts w:ascii="Arial" w:hAnsi="Arial" w:cs="Arial"/>
                <w:color w:val="000000"/>
                <w:lang w:val="es-CL"/>
              </w:rPr>
              <w:t>al menos semestralmente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con la empresa de auditoría externa a cargo de la auditoría de los estados financieros para analizar:</w:t>
            </w:r>
          </w:p>
          <w:p w:rsidR="00BC2162" w:rsidRPr="002F4EDA" w:rsidRDefault="00BC2162" w:rsidP="00BC216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>El p</w:t>
            </w:r>
            <w:r w:rsidRPr="002F4EDA">
              <w:rPr>
                <w:rFonts w:ascii="Arial" w:hAnsi="Arial" w:cs="Arial"/>
                <w:color w:val="000000"/>
                <w:lang w:val="es-CL"/>
              </w:rPr>
              <w:t>rograma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 o plan</w:t>
            </w:r>
            <w:r w:rsidRPr="002F4EDA">
              <w:rPr>
                <w:rFonts w:ascii="Arial" w:hAnsi="Arial" w:cs="Arial"/>
                <w:color w:val="000000"/>
                <w:lang w:val="es-CL"/>
              </w:rPr>
              <w:t xml:space="preserve"> anual de auditoría.</w:t>
            </w:r>
          </w:p>
          <w:p w:rsidR="00BC2162" w:rsidRPr="002F4EDA" w:rsidRDefault="00BC2162" w:rsidP="00BC216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>Eventuales diferencias detectadas en la auditoría respecto de prácticas contables, sistemas administrativos y auditoría interna</w:t>
            </w:r>
            <w:r w:rsidRPr="002F4EDA">
              <w:rPr>
                <w:rFonts w:ascii="Arial" w:hAnsi="Arial" w:cs="Arial"/>
                <w:color w:val="000000"/>
                <w:lang w:val="es-CL"/>
              </w:rPr>
              <w:t>.</w:t>
            </w:r>
          </w:p>
          <w:p w:rsidR="00BC2162" w:rsidRPr="002F4EDA" w:rsidRDefault="00BC2162" w:rsidP="00BC216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>Eventuales</w:t>
            </w:r>
            <w:r w:rsidRPr="002F4EDA">
              <w:rPr>
                <w:rFonts w:ascii="Arial" w:hAnsi="Arial" w:cs="Arial"/>
                <w:color w:val="000000"/>
                <w:lang w:val="es-CL"/>
              </w:rPr>
              <w:t xml:space="preserve"> deficiencias graves que se hubieren detectado y aquellas situaciones irregulares que por su naturaleza deban ser comunicadas a los organismos fiscalizadores competentes. </w:t>
            </w:r>
          </w:p>
          <w:p w:rsidR="00BC2162" w:rsidRDefault="00BC2162" w:rsidP="00BC216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>Los resultados del programa anual de</w:t>
            </w:r>
            <w:r w:rsidRPr="002F4EDA">
              <w:rPr>
                <w:rFonts w:ascii="Arial" w:hAnsi="Arial" w:cs="Arial"/>
                <w:color w:val="000000"/>
                <w:lang w:val="es-CL"/>
              </w:rPr>
              <w:t xml:space="preserve"> auditoría.</w:t>
            </w:r>
          </w:p>
          <w:p w:rsidR="00BC2162" w:rsidRDefault="00BC2162" w:rsidP="00BC216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8629D2">
              <w:rPr>
                <w:rFonts w:ascii="Arial" w:hAnsi="Arial" w:cs="Arial"/>
                <w:color w:val="000000"/>
                <w:lang w:val="es-CL"/>
              </w:rPr>
              <w:t>Los posibles conflictos de interés que puedan existir en la relación con la empresa de auditoría o su personal, tanto por la prestación de otros servicios a la sociedad o a las empresas de su grupo empresarial, como por otras situaciones.</w:t>
            </w:r>
          </w:p>
          <w:p w:rsidR="00BC2162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  <w:p w:rsidR="00BC2162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>Con todo, se deberá explicar las materias que son analizadas en sesiones de directorio sin la presencia de gerentes o ejecutivos principales.</w:t>
            </w:r>
          </w:p>
          <w:p w:rsidR="00BC2162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 xml:space="preserve">      </w:t>
            </w:r>
          </w:p>
          <w:p w:rsidR="00BC2162" w:rsidRPr="00BC7C5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  <w:p w:rsidR="00BC2162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  <w:p w:rsidR="00BC2162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B.</w:t>
            </w:r>
            <w:r w:rsidRPr="00922D2D">
              <w:rPr>
                <w:b/>
                <w:bCs/>
                <w:color w:val="000000"/>
                <w:sz w:val="14"/>
                <w:szCs w:val="14"/>
                <w:lang w:val="es-CL"/>
              </w:rPr>
              <w:t xml:space="preserve">   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Del  correcto funcionamiento d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el directorio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y su continuidad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ante la ausencia de uno o más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de sus miembros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.</w:t>
            </w:r>
          </w:p>
        </w:tc>
      </w:tr>
      <w:tr w:rsidR="00BC2162" w:rsidRPr="00922D2D" w:rsidTr="00C430D2">
        <w:trPr>
          <w:trHeight w:val="129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a)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El directorio cuenta con un procedimiento establecido para </w:t>
            </w:r>
            <w:r>
              <w:rPr>
                <w:rFonts w:ascii="Arial" w:hAnsi="Arial" w:cs="Arial"/>
                <w:color w:val="000000"/>
                <w:lang w:val="es-CL"/>
              </w:rPr>
              <w:t>detectar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e </w:t>
            </w:r>
            <w:r>
              <w:rPr>
                <w:rFonts w:ascii="Arial" w:hAnsi="Arial" w:cs="Arial"/>
                <w:color w:val="000000"/>
                <w:lang w:val="es-CL"/>
              </w:rPr>
              <w:t>implementar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eventuales mejoras en el funcionamiento del directorio en su conjunto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 y ese proceso es realizado al menos una vez al año por una persona o entidad ajena a la sociedad.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  <w:tr w:rsidR="00BC2162" w:rsidRPr="00922D2D" w:rsidTr="00C430D2">
        <w:trPr>
          <w:trHeight w:val="1545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b)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El directorio ha establecido una política mediante la cual se </w:t>
            </w:r>
            <w:r>
              <w:rPr>
                <w:rFonts w:ascii="Arial" w:hAnsi="Arial" w:cs="Arial"/>
                <w:color w:val="000000"/>
                <w:lang w:val="es-CL"/>
              </w:rPr>
              <w:t>propone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a los directores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el tiempo mínimo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mensual que, en su opinión, es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deseable que cada director deba destinar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exclusivamente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al cumplimiento de dicho rol en la </w:t>
            </w:r>
            <w:r>
              <w:rPr>
                <w:rFonts w:ascii="Arial" w:hAnsi="Arial" w:cs="Arial"/>
                <w:color w:val="000000"/>
                <w:lang w:val="es-CL"/>
              </w:rPr>
              <w:t>sociedad, en atención a las características particulares de ésta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. </w:t>
            </w:r>
          </w:p>
          <w:p w:rsidR="00BC2162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B42E1D">
              <w:rPr>
                <w:rFonts w:ascii="Arial" w:hAnsi="Arial" w:cs="Arial"/>
                <w:color w:val="000000"/>
                <w:lang w:val="es-CL"/>
              </w:rPr>
              <w:t xml:space="preserve">Con todo, se deberá indicar si </w:t>
            </w:r>
            <w:r>
              <w:rPr>
                <w:rFonts w:ascii="Arial" w:hAnsi="Arial" w:cs="Arial"/>
                <w:color w:val="000000"/>
                <w:lang w:val="es-CL"/>
              </w:rPr>
              <w:t>esa política</w:t>
            </w:r>
            <w:r w:rsidRPr="00B42E1D">
              <w:rPr>
                <w:rFonts w:ascii="Arial" w:hAnsi="Arial" w:cs="Arial"/>
                <w:color w:val="000000"/>
                <w:lang w:val="es-CL"/>
              </w:rPr>
              <w:t xml:space="preserve"> está o no a disposición de los accionistas y el público en general.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62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  <w:p w:rsidR="00BC2162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>c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El directorio cuenta con un </w:t>
            </w:r>
            <w:r>
              <w:rPr>
                <w:rFonts w:ascii="Arial" w:hAnsi="Arial" w:cs="Arial"/>
                <w:color w:val="000000"/>
                <w:lang w:val="es-CL"/>
              </w:rPr>
              <w:t>mecanismo/procedimiento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para </w:t>
            </w:r>
            <w:r>
              <w:rPr>
                <w:rFonts w:ascii="Arial" w:hAnsi="Arial" w:cs="Arial"/>
                <w:color w:val="000000"/>
                <w:lang w:val="es-CL"/>
              </w:rPr>
              <w:t>mantener documentados de manera adecuada, los fundamentos, elementos y demás información de la sociedad que se hayan tenido en vista o se estén considerando para adoptar los diversos acuerdos del directorio, a objeto de evitar que como consecuencia del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reemplazo, incapacidad, ausencia o renuncia de uno o más de sus miembros, </w:t>
            </w:r>
            <w:r>
              <w:rPr>
                <w:rFonts w:ascii="Arial" w:hAnsi="Arial" w:cs="Arial"/>
                <w:color w:val="000000"/>
                <w:lang w:val="es-CL"/>
              </w:rPr>
              <w:t>se afecte la normal y oportuna toma de decisiones del mismo.</w:t>
            </w:r>
          </w:p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3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  <w:tr w:rsidR="00BC2162" w:rsidRPr="00922D2D" w:rsidTr="00C430D2">
        <w:trPr>
          <w:trHeight w:val="780"/>
        </w:trPr>
        <w:tc>
          <w:tcPr>
            <w:tcW w:w="9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C.</w:t>
            </w:r>
            <w:r w:rsidRPr="00922D2D">
              <w:rPr>
                <w:b/>
                <w:bCs/>
                <w:color w:val="000000"/>
                <w:sz w:val="14"/>
                <w:szCs w:val="14"/>
                <w:lang w:val="es-CL"/>
              </w:rPr>
              <w:t xml:space="preserve">   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Tratamiento por e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l directorio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de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los potenciales conflictos de interés que puedan surgir en el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ejercicio del cargo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de director </w:t>
            </w:r>
          </w:p>
        </w:tc>
      </w:tr>
      <w:tr w:rsidR="00BC2162" w:rsidRPr="00922D2D" w:rsidTr="00C430D2">
        <w:trPr>
          <w:trHeight w:val="687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a)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El directorio </w:t>
            </w:r>
            <w:r>
              <w:rPr>
                <w:rFonts w:ascii="Arial" w:hAnsi="Arial" w:cs="Arial"/>
                <w:color w:val="000000"/>
                <w:lang w:val="es-CL"/>
              </w:rPr>
              <w:t>se rige por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un Código de Conducta que como mínimo: i) identifi</w:t>
            </w:r>
            <w:r>
              <w:rPr>
                <w:rFonts w:ascii="Arial" w:hAnsi="Arial" w:cs="Arial"/>
                <w:color w:val="000000"/>
                <w:lang w:val="es-CL"/>
              </w:rPr>
              <w:t>ca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las principales situaciones que con</w:t>
            </w:r>
            <w:r>
              <w:rPr>
                <w:rFonts w:ascii="Arial" w:hAnsi="Arial" w:cs="Arial"/>
                <w:color w:val="000000"/>
                <w:lang w:val="es-CL"/>
              </w:rPr>
              <w:t>figuran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un conflicto de interés; y i</w:t>
            </w:r>
            <w:r>
              <w:rPr>
                <w:rFonts w:ascii="Arial" w:hAnsi="Arial" w:cs="Arial"/>
                <w:color w:val="000000"/>
                <w:lang w:val="es-CL"/>
              </w:rPr>
              <w:t>i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) describ</w:t>
            </w:r>
            <w:r>
              <w:rPr>
                <w:rFonts w:ascii="Arial" w:hAnsi="Arial" w:cs="Arial"/>
                <w:color w:val="000000"/>
                <w:lang w:val="es-CL"/>
              </w:rPr>
              <w:t>e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el procedimiento que debe seguir un director para declarar y resolver un conflicto de interés.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 Dicho Código, se refiere al menos a situaciones que, a pesar de no estar específicamente contenidas en la ley, de ser mal resueltas, podrían terminar afectando el interés social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.</w:t>
            </w:r>
          </w:p>
          <w:p w:rsidR="00BC2162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  <w:p w:rsidR="00BC2162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</w:p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 xml:space="preserve">Con todo, se deberá indicar si ese Código de Conducta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está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o no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a disposición de los accionistas y el público en general</w:t>
            </w:r>
            <w:r>
              <w:rPr>
                <w:rFonts w:ascii="Arial" w:hAnsi="Arial" w:cs="Arial"/>
                <w:color w:val="000000"/>
                <w:lang w:val="es-CL"/>
              </w:rPr>
              <w:t>.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</w:tbl>
    <w:p w:rsidR="00BC2162" w:rsidRDefault="00BC2162" w:rsidP="00BC2162">
      <w:r>
        <w:br w:type="page"/>
      </w:r>
    </w:p>
    <w:tbl>
      <w:tblPr>
        <w:tblW w:w="500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8283"/>
        <w:gridCol w:w="675"/>
        <w:gridCol w:w="634"/>
      </w:tblGrid>
      <w:tr w:rsidR="00BC2162" w:rsidRPr="00922D2D" w:rsidTr="00C430D2">
        <w:trPr>
          <w:trHeight w:val="465"/>
          <w:tblHeader/>
        </w:trPr>
        <w:tc>
          <w:tcPr>
            <w:tcW w:w="43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Práctica</w:t>
            </w:r>
          </w:p>
        </w:tc>
        <w:tc>
          <w:tcPr>
            <w:tcW w:w="6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Adopción</w:t>
            </w:r>
          </w:p>
        </w:tc>
      </w:tr>
      <w:tr w:rsidR="00BC2162" w:rsidRPr="00922D2D" w:rsidTr="00C430D2">
        <w:trPr>
          <w:trHeight w:val="315"/>
          <w:tblHeader/>
        </w:trPr>
        <w:tc>
          <w:tcPr>
            <w:tcW w:w="43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SI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NO</w:t>
            </w:r>
          </w:p>
        </w:tc>
      </w:tr>
      <w:tr w:rsidR="00BC2162" w:rsidRPr="00922D2D" w:rsidTr="00C430D2">
        <w:trPr>
          <w:trHeight w:val="50"/>
          <w:tblHeader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D2FC5" w:rsidRDefault="00BC2162" w:rsidP="00C430D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</w:p>
        </w:tc>
      </w:tr>
      <w:tr w:rsidR="00BC2162" w:rsidRPr="00922D2D" w:rsidTr="00C430D2">
        <w:trPr>
          <w:trHeight w:val="315"/>
        </w:trPr>
        <w:tc>
          <w:tcPr>
            <w:tcW w:w="9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D.</w:t>
            </w:r>
            <w:r w:rsidRPr="00922D2D">
              <w:rPr>
                <w:b/>
                <w:bCs/>
                <w:color w:val="000000"/>
                <w:sz w:val="14"/>
                <w:szCs w:val="14"/>
                <w:lang w:val="es-CL"/>
              </w:rPr>
              <w:t>   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Otras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prácticas a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doptadas por la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sociedad, referidas a las materias de este numeral  (N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o más de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5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)</w:t>
            </w:r>
          </w:p>
        </w:tc>
      </w:tr>
      <w:tr w:rsidR="00BC2162" w:rsidRPr="00922D2D" w:rsidTr="00C430D2">
        <w:trPr>
          <w:trHeight w:val="891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BC2162" w:rsidRPr="00922D2D" w:rsidTr="00C430D2">
        <w:trPr>
          <w:trHeight w:val="96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801A06" w:rsidRDefault="00BC2162" w:rsidP="00BC216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 w:rsidRPr="00801A0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  <w:t>De la relación entre la sociedad, los accionistas y el público en general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162" w:rsidRPr="00922D2D" w:rsidRDefault="00BC2162" w:rsidP="00C430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  <w:r w:rsidRPr="00922D2D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 </w:t>
            </w: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A.</w:t>
            </w:r>
            <w:r w:rsidRPr="00922D2D">
              <w:rPr>
                <w:b/>
                <w:bCs/>
                <w:color w:val="000000"/>
                <w:sz w:val="14"/>
                <w:szCs w:val="14"/>
                <w:lang w:val="es-CL"/>
              </w:rPr>
              <w:t xml:space="preserve">   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De la información que requieren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los accionistas e inversionistas para la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adecuada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toma de decisiones, y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de los mecanismos que facilitan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la participación de los accionistas en las juntas de accionistas.</w:t>
            </w:r>
          </w:p>
        </w:tc>
      </w:tr>
      <w:tr w:rsidR="00BC2162" w:rsidRPr="00922D2D" w:rsidTr="00C430D2">
        <w:trPr>
          <w:trHeight w:val="1035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a)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Para efectos del proceso de postulación y elección de directores, el directorio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cuenta con una política y procedimiento a objeto que el gerente general elabore y ponga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a disposición de los accionistas, con al menos dos días de anticipación a la junta, un documento que cont</w:t>
            </w:r>
            <w:r>
              <w:rPr>
                <w:rFonts w:ascii="Arial" w:hAnsi="Arial" w:cs="Arial"/>
                <w:color w:val="000000"/>
                <w:lang w:val="es-CL"/>
              </w:rPr>
              <w:t>enga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la experiencia y perfil profesional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de los candidatos a director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que</w:t>
            </w:r>
            <w:r>
              <w:rPr>
                <w:rFonts w:ascii="Arial" w:hAnsi="Arial" w:cs="Arial"/>
                <w:color w:val="000000"/>
                <w:lang w:val="es-CL"/>
              </w:rPr>
              <w:t>, hasta ese momento,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CL"/>
              </w:rPr>
              <w:t>hayan provisto dicha información a la sociedad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b)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La </w:t>
            </w:r>
            <w:r>
              <w:rPr>
                <w:rFonts w:ascii="Arial" w:hAnsi="Arial" w:cs="Arial"/>
                <w:color w:val="000000"/>
                <w:lang w:val="es-CL"/>
              </w:rPr>
              <w:t>sociedad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cuenta con un mecanismo que permite la votación remota y participación en tiempo real de los accionistas en las juntas de accionistas.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c)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La </w:t>
            </w:r>
            <w:r>
              <w:rPr>
                <w:rFonts w:ascii="Arial" w:hAnsi="Arial" w:cs="Arial"/>
                <w:color w:val="000000"/>
                <w:lang w:val="es-CL"/>
              </w:rPr>
              <w:t>sociedad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cuenta con mecanismos electrónicos que permiten divulgar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 oportunamente al mercado,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CL"/>
              </w:rPr>
              <w:t>en el transcurso de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la junta de accionistas</w:t>
            </w:r>
            <w:r>
              <w:rPr>
                <w:rFonts w:ascii="Arial" w:hAnsi="Arial" w:cs="Arial"/>
                <w:color w:val="000000"/>
                <w:lang w:val="es-CL"/>
              </w:rPr>
              <w:t>,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CL"/>
              </w:rPr>
              <w:t>los acuerdos que se adopten, así como otros sucesos de relevancia que ocurran durante ésta.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  <w:tr w:rsidR="00BC2162" w:rsidRPr="00922D2D" w:rsidTr="00C430D2">
        <w:trPr>
          <w:trHeight w:val="129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d)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La </w:t>
            </w:r>
            <w:r>
              <w:rPr>
                <w:rFonts w:ascii="Arial" w:hAnsi="Arial" w:cs="Arial"/>
                <w:color w:val="000000"/>
                <w:lang w:val="es-CL"/>
              </w:rPr>
              <w:t>sociedad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cuenta con una persona, unidad o sistema </w:t>
            </w:r>
            <w:r>
              <w:rPr>
                <w:rFonts w:ascii="Arial" w:hAnsi="Arial" w:cs="Arial"/>
                <w:color w:val="000000"/>
                <w:lang w:val="es-CL"/>
              </w:rPr>
              <w:t>cuyo objetivo principal es responder de manera oportuna a las inquietudes que razonablemente manifiesten los accionistas e inversionistas nacionales o extranjeros, respecto de la situación, marcha y negocios públicamente conocidos de la entidad, indicándoles además dónde pueden obtener la información que por ley puede ser provista a los accionistas y al público en general.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El directorio cuenta con un procedimiento formal para analizar y evaluar la suficiencia</w:t>
            </w:r>
            <w:r>
              <w:rPr>
                <w:rFonts w:ascii="Arial" w:hAnsi="Arial" w:cs="Arial"/>
                <w:color w:val="000000"/>
                <w:lang w:val="es-CL"/>
              </w:rPr>
              <w:t>, oportunidad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y pertinencia de las diversas revelaciones que la entidad realiza al mercado</w:t>
            </w:r>
            <w:r>
              <w:rPr>
                <w:rFonts w:ascii="Arial" w:hAnsi="Arial" w:cs="Arial"/>
                <w:color w:val="000000"/>
                <w:lang w:val="es-CL"/>
              </w:rPr>
              <w:t>, a objeto de mejorar permanentemente la información de la sociedad que se provee al público en general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f)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La </w:t>
            </w:r>
            <w:r>
              <w:rPr>
                <w:rFonts w:ascii="Arial" w:hAnsi="Arial" w:cs="Arial"/>
                <w:color w:val="000000"/>
                <w:lang w:val="es-CL"/>
              </w:rPr>
              <w:t>sociedad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cuenta con una página web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actualizada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por medio de la cual los accionistas pueden acceder a toda </w:t>
            </w:r>
            <w:r>
              <w:rPr>
                <w:rFonts w:ascii="Arial" w:hAnsi="Arial" w:cs="Arial"/>
                <w:color w:val="000000"/>
                <w:lang w:val="es-CL"/>
              </w:rPr>
              <w:t>su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información pública</w:t>
            </w:r>
            <w:r>
              <w:rPr>
                <w:rFonts w:ascii="Arial" w:hAnsi="Arial" w:cs="Arial"/>
                <w:color w:val="000000"/>
                <w:lang w:val="es-CL"/>
              </w:rPr>
              <w:t>,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CL"/>
              </w:rPr>
              <w:t>de manera sencilla y de fácil acceso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</w:tbl>
    <w:p w:rsidR="00BC2162" w:rsidRDefault="00BC2162" w:rsidP="00BC2162">
      <w:r>
        <w:br w:type="page"/>
      </w:r>
    </w:p>
    <w:tbl>
      <w:tblPr>
        <w:tblW w:w="500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8283"/>
        <w:gridCol w:w="675"/>
        <w:gridCol w:w="634"/>
      </w:tblGrid>
      <w:tr w:rsidR="00BC2162" w:rsidRPr="00922D2D" w:rsidTr="00C430D2">
        <w:trPr>
          <w:trHeight w:val="465"/>
          <w:tblHeader/>
        </w:trPr>
        <w:tc>
          <w:tcPr>
            <w:tcW w:w="43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lastRenderedPageBreak/>
              <w:t>Práctica</w:t>
            </w:r>
          </w:p>
        </w:tc>
        <w:tc>
          <w:tcPr>
            <w:tcW w:w="6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Adopción</w:t>
            </w:r>
          </w:p>
        </w:tc>
      </w:tr>
      <w:tr w:rsidR="00BC2162" w:rsidRPr="00922D2D" w:rsidTr="00C430D2">
        <w:trPr>
          <w:trHeight w:val="315"/>
          <w:tblHeader/>
        </w:trPr>
        <w:tc>
          <w:tcPr>
            <w:tcW w:w="43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SI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NO</w:t>
            </w:r>
          </w:p>
        </w:tc>
      </w:tr>
      <w:tr w:rsidR="00BC2162" w:rsidRPr="00922D2D" w:rsidTr="00C430D2">
        <w:trPr>
          <w:trHeight w:val="50"/>
          <w:tblHeader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D2FC5" w:rsidRDefault="00BC2162" w:rsidP="00C430D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B.</w:t>
            </w:r>
            <w:r w:rsidRPr="00922D2D">
              <w:rPr>
                <w:b/>
                <w:bCs/>
                <w:color w:val="000000"/>
                <w:sz w:val="14"/>
                <w:szCs w:val="14"/>
                <w:lang w:val="es-CL"/>
              </w:rPr>
              <w:t xml:space="preserve">   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Otras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prácticas a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doptadas por la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sociedad, referidas a las materias de este numeral  (N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o más de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5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)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  <w:p w:rsidR="00BC2162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  <w:p w:rsidR="00BC2162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BC2162" w:rsidRPr="00922D2D" w:rsidTr="00C430D2">
        <w:trPr>
          <w:trHeight w:val="96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801A06" w:rsidRDefault="00BC2162" w:rsidP="00BC216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  <w:t xml:space="preserve">De la sustitución </w:t>
            </w:r>
            <w:r w:rsidRPr="00801A0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  <w:t xml:space="preserve">y compensación de ejecutivos principales </w:t>
            </w:r>
          </w:p>
        </w:tc>
      </w:tr>
      <w:tr w:rsidR="00BC2162" w:rsidRPr="00922D2D" w:rsidTr="00C430D2">
        <w:trPr>
          <w:trHeight w:val="1440"/>
        </w:trPr>
        <w:tc>
          <w:tcPr>
            <w:tcW w:w="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162" w:rsidRPr="00922D2D" w:rsidRDefault="00BC2162" w:rsidP="00C430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  <w:r w:rsidRPr="00922D2D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 </w:t>
            </w: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B42E1D" w:rsidRDefault="00BC2162" w:rsidP="00C430D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A.</w:t>
            </w:r>
            <w:r w:rsidRPr="00922D2D">
              <w:rPr>
                <w:b/>
                <w:bCs/>
                <w:color w:val="000000"/>
                <w:sz w:val="14"/>
                <w:szCs w:val="14"/>
                <w:lang w:val="es-CL"/>
              </w:rPr>
              <w:t xml:space="preserve">    </w:t>
            </w:r>
            <w:r w:rsidRPr="000C5972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De los procedimientos de sucesión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y </w:t>
            </w:r>
            <w:r w:rsidRPr="000C5972">
              <w:rPr>
                <w:rFonts w:ascii="Arial" w:hAnsi="Arial" w:cs="Arial"/>
                <w:b/>
                <w:bCs/>
                <w:color w:val="000000"/>
                <w:lang w:val="es-CL"/>
              </w:rPr>
              <w:t>de las políticas y planes de compensació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n de los ejecutivos principales</w:t>
            </w:r>
            <w:r w:rsidRPr="000C5972">
              <w:rPr>
                <w:rFonts w:ascii="Arial" w:hAnsi="Arial" w:cs="Arial"/>
                <w:b/>
                <w:bCs/>
                <w:color w:val="000000"/>
                <w:lang w:val="es-CL"/>
              </w:rPr>
              <w:t>.</w:t>
            </w:r>
          </w:p>
        </w:tc>
      </w:tr>
      <w:tr w:rsidR="00BC2162" w:rsidRPr="00922D2D" w:rsidTr="00C430D2">
        <w:trPr>
          <w:trHeight w:val="1545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a)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El directorio cuenta con un procedimiento para </w:t>
            </w:r>
            <w:r w:rsidRPr="00B83676">
              <w:rPr>
                <w:rFonts w:ascii="Arial" w:hAnsi="Arial" w:cs="Arial"/>
                <w:color w:val="000000"/>
                <w:lang w:val="es-CL"/>
              </w:rPr>
              <w:t>facilitar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 w:rsidRPr="00B83676">
              <w:rPr>
                <w:rFonts w:ascii="Arial" w:hAnsi="Arial" w:cs="Arial"/>
                <w:color w:val="000000"/>
                <w:lang w:val="es-CL"/>
              </w:rPr>
              <w:t>el adecuado funcionamiento de la sociedad ante el reemplazo o pérdida del gerente general o de ejecutivos princi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pales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. Tal procedimiento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contempl</w:t>
            </w:r>
            <w:r>
              <w:rPr>
                <w:rFonts w:ascii="Arial" w:hAnsi="Arial" w:cs="Arial"/>
                <w:color w:val="000000"/>
                <w:lang w:val="es-CL"/>
              </w:rPr>
              <w:t>a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políticas y </w:t>
            </w:r>
            <w:r>
              <w:rPr>
                <w:rFonts w:ascii="Arial" w:hAnsi="Arial" w:cs="Arial"/>
                <w:color w:val="000000"/>
                <w:lang w:val="es-CL"/>
              </w:rPr>
              <w:t>mecanismos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de selección de potenciales reemplazantes y el adecuado traspaso de funciones e información del gerente o ejecutivo principal a sus reemplazantes o al directorio.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  <w:tr w:rsidR="00BC2162" w:rsidRPr="00922D2D" w:rsidTr="00C430D2">
        <w:trPr>
          <w:trHeight w:val="129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b)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 </w:t>
            </w:r>
            <w:r>
              <w:rPr>
                <w:rFonts w:ascii="Arial" w:hAnsi="Arial" w:cs="Arial"/>
                <w:color w:val="000000"/>
                <w:lang w:val="es-CL"/>
              </w:rPr>
              <w:t>E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l directorio ha establecido </w:t>
            </w:r>
            <w:r>
              <w:rPr>
                <w:rFonts w:ascii="Arial" w:hAnsi="Arial" w:cs="Arial"/>
                <w:color w:val="000000"/>
                <w:lang w:val="es-CL"/>
              </w:rPr>
              <w:t>directrices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y procedimientos formales tendientes a prevenir </w:t>
            </w:r>
            <w:r>
              <w:rPr>
                <w:rFonts w:ascii="Arial" w:hAnsi="Arial" w:cs="Arial"/>
                <w:color w:val="000000"/>
                <w:lang w:val="es-CL"/>
              </w:rPr>
              <w:t>que las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políticas de compensación e indemnización de los gerentes y ejecutivos principales, </w:t>
            </w:r>
            <w:r>
              <w:rPr>
                <w:rFonts w:ascii="Arial" w:hAnsi="Arial" w:cs="Arial"/>
                <w:color w:val="000000"/>
                <w:lang w:val="es-CL"/>
              </w:rPr>
              <w:t>generen incentivos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a que dichos ejecutivos expongan a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la </w:t>
            </w:r>
            <w:r>
              <w:rPr>
                <w:rFonts w:ascii="Arial" w:hAnsi="Arial" w:cs="Arial"/>
                <w:color w:val="000000"/>
                <w:lang w:val="es-CL"/>
              </w:rPr>
              <w:t>sociedad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a riesgos </w:t>
            </w:r>
            <w:r>
              <w:rPr>
                <w:rFonts w:ascii="Arial" w:hAnsi="Arial" w:cs="Arial"/>
                <w:color w:val="000000"/>
                <w:lang w:val="es-CL"/>
              </w:rPr>
              <w:t>que no estén acorde a las políticas definidas sobre la materia o a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la comisión de eventuales </w:t>
            </w:r>
            <w:r>
              <w:rPr>
                <w:rFonts w:ascii="Arial" w:hAnsi="Arial" w:cs="Arial"/>
                <w:color w:val="000000"/>
                <w:lang w:val="es-CL"/>
              </w:rPr>
              <w:t>ilícitos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</w:tbl>
    <w:p w:rsidR="00BC2162" w:rsidRDefault="00BC2162" w:rsidP="00BC2162">
      <w:r>
        <w:br w:type="page"/>
      </w:r>
    </w:p>
    <w:tbl>
      <w:tblPr>
        <w:tblW w:w="500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8283"/>
        <w:gridCol w:w="675"/>
        <w:gridCol w:w="634"/>
      </w:tblGrid>
      <w:tr w:rsidR="00BC2162" w:rsidRPr="00922D2D" w:rsidTr="00C430D2">
        <w:trPr>
          <w:trHeight w:val="465"/>
          <w:tblHeader/>
        </w:trPr>
        <w:tc>
          <w:tcPr>
            <w:tcW w:w="43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lastRenderedPageBreak/>
              <w:t>Práctica</w:t>
            </w:r>
          </w:p>
        </w:tc>
        <w:tc>
          <w:tcPr>
            <w:tcW w:w="6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Adopción</w:t>
            </w:r>
          </w:p>
        </w:tc>
      </w:tr>
      <w:tr w:rsidR="00BC2162" w:rsidRPr="00922D2D" w:rsidTr="00C430D2">
        <w:trPr>
          <w:trHeight w:val="315"/>
          <w:tblHeader/>
        </w:trPr>
        <w:tc>
          <w:tcPr>
            <w:tcW w:w="43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SI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NO</w:t>
            </w:r>
          </w:p>
        </w:tc>
      </w:tr>
      <w:tr w:rsidR="00BC2162" w:rsidRPr="00922D2D" w:rsidTr="00C430D2">
        <w:trPr>
          <w:trHeight w:val="50"/>
          <w:tblHeader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D2FC5" w:rsidRDefault="00BC2162" w:rsidP="00C430D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B.</w:t>
            </w:r>
            <w:r w:rsidRPr="00922D2D">
              <w:rPr>
                <w:b/>
                <w:bCs/>
                <w:color w:val="000000"/>
                <w:sz w:val="14"/>
                <w:szCs w:val="14"/>
                <w:lang w:val="es-CL"/>
              </w:rPr>
              <w:t xml:space="preserve">   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Otras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prácticas a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doptadas por la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sociedad, referidas a las materias de este numeral  (N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o más de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5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)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801A06" w:rsidRDefault="00BC2162" w:rsidP="00BC216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</w:pPr>
            <w:r w:rsidRPr="00801A0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  <w:t xml:space="preserve">De la definición, implementación y supervisión de políticas y procedimientos de control interno y gestión de riesgos en la empresa 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162" w:rsidRPr="00922D2D" w:rsidRDefault="00BC2162" w:rsidP="00C430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  <w:r w:rsidRPr="00922D2D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 </w:t>
            </w: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A.</w:t>
            </w:r>
            <w:r w:rsidRPr="00922D2D">
              <w:rPr>
                <w:b/>
                <w:bCs/>
                <w:color w:val="000000"/>
                <w:sz w:val="14"/>
                <w:szCs w:val="14"/>
                <w:lang w:val="es-CL"/>
              </w:rPr>
              <w:t xml:space="preserve">   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De la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administra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ción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adecuada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de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los riesgos inherentes a los negocios que realiza la entidad y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de la 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adop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ción de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las medidas que correspondan a objeto que los riesgos finalmente asumidos por la misma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,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se enmarquen dentro de las políticas definidas al efecto.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>a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 </w:t>
            </w:r>
            <w:r>
              <w:rPr>
                <w:rFonts w:ascii="Arial" w:hAnsi="Arial" w:cs="Arial"/>
                <w:color w:val="000000"/>
                <w:lang w:val="es-CL"/>
              </w:rPr>
              <w:t>La sociedad</w:t>
            </w:r>
            <w:r w:rsidRPr="00C04A5B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cuenta con políticas y procedimientos formales para la administración de sus riesgos, siendo </w:t>
            </w:r>
            <w:r w:rsidRPr="00C04A5B">
              <w:rPr>
                <w:rFonts w:ascii="Arial" w:hAnsi="Arial" w:cs="Arial"/>
                <w:color w:val="000000"/>
                <w:lang w:val="es-CL"/>
              </w:rPr>
              <w:t>el personal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 atingente, </w:t>
            </w:r>
            <w:r w:rsidRPr="00C04A5B">
              <w:rPr>
                <w:rFonts w:ascii="Arial" w:hAnsi="Arial" w:cs="Arial"/>
                <w:color w:val="000000"/>
                <w:lang w:val="es-CL"/>
              </w:rPr>
              <w:t>independiente del vínculo</w:t>
            </w:r>
            <w:r w:rsidRPr="00C04A5B" w:rsidDel="00F03A51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 w:rsidRPr="00C04A5B">
              <w:rPr>
                <w:rFonts w:ascii="Arial" w:hAnsi="Arial" w:cs="Arial"/>
                <w:color w:val="000000"/>
                <w:lang w:val="es-CL"/>
              </w:rPr>
              <w:t xml:space="preserve">contractual que lo una con la sociedad, debidamente informado y capacitado respecto de </w:t>
            </w:r>
            <w:r>
              <w:rPr>
                <w:rFonts w:ascii="Arial" w:hAnsi="Arial" w:cs="Arial"/>
                <w:color w:val="000000"/>
                <w:lang w:val="es-CL"/>
              </w:rPr>
              <w:t>tales materias. Además, dichas políticas y procedimientos son revisados periódicamente y actualizados, si correspondiere</w:t>
            </w:r>
            <w:r w:rsidRPr="00C04A5B">
              <w:rPr>
                <w:rFonts w:ascii="Arial" w:hAnsi="Arial" w:cs="Arial"/>
                <w:color w:val="000000"/>
                <w:lang w:val="es-CL"/>
              </w:rPr>
              <w:t xml:space="preserve">.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  <w:tr w:rsidR="00BC2162" w:rsidRPr="00922D2D" w:rsidTr="00C430D2">
        <w:trPr>
          <w:trHeight w:val="1035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>b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>   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El directorio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cuenta con un Comité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 o unidad que le reporte directamente,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dedicado a controlar que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las políticas y procedimientos, referidos en la letra anterior, se cumplan y que por ende,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la exposición a los riesgos efectivamente </w:t>
            </w:r>
            <w:r>
              <w:rPr>
                <w:rFonts w:ascii="Arial" w:hAnsi="Arial" w:cs="Arial"/>
                <w:color w:val="000000"/>
                <w:lang w:val="es-CL"/>
              </w:rPr>
              <w:t>asumidos,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sea acorde a lo definido en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tales políticas.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  <w:tr w:rsidR="00BC2162" w:rsidRPr="00922D2D" w:rsidTr="00C430D2">
        <w:trPr>
          <w:trHeight w:val="1035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>c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La sociedad cuenta con un procedimiento establecido </w:t>
            </w:r>
            <w:r>
              <w:rPr>
                <w:rFonts w:ascii="Arial" w:hAnsi="Arial" w:cs="Arial"/>
                <w:color w:val="000000"/>
                <w:lang w:val="es-CL"/>
              </w:rPr>
              <w:t xml:space="preserve">y conocido por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todo </w:t>
            </w:r>
            <w:r>
              <w:rPr>
                <w:rFonts w:ascii="Arial" w:hAnsi="Arial" w:cs="Arial"/>
                <w:color w:val="000000"/>
                <w:lang w:val="es-CL"/>
              </w:rPr>
              <w:t>su personal, cualquiera sea el vínculo</w:t>
            </w:r>
            <w:r w:rsidDel="00F03A51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CL"/>
              </w:rPr>
              <w:t>contractual con ella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, especialmente diseñado para la denuncia de eventuales irregularidades o ilícitos, que dé garantías respecto de la confidencialidad de la identidad del denunciante.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  <w:tr w:rsidR="00BC2162" w:rsidRPr="00922D2D" w:rsidTr="00C430D2">
        <w:trPr>
          <w:trHeight w:val="1035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162" w:rsidRPr="00922D2D" w:rsidRDefault="00BC2162" w:rsidP="00C430D2">
            <w:pPr>
              <w:jc w:val="both"/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>d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>)</w:t>
            </w:r>
            <w:r w:rsidRPr="00922D2D">
              <w:rPr>
                <w:color w:val="000000"/>
                <w:sz w:val="14"/>
                <w:szCs w:val="14"/>
                <w:lang w:val="es-CL"/>
              </w:rPr>
              <w:t xml:space="preserve">     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El directorio ha implementado un Código </w:t>
            </w:r>
            <w:r>
              <w:rPr>
                <w:rFonts w:ascii="Arial" w:hAnsi="Arial" w:cs="Arial"/>
                <w:color w:val="000000"/>
                <w:lang w:val="es-CL"/>
              </w:rPr>
              <w:t>de Conducta Ética, que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defin</w:t>
            </w:r>
            <w:r>
              <w:rPr>
                <w:rFonts w:ascii="Arial" w:hAnsi="Arial" w:cs="Arial"/>
                <w:color w:val="000000"/>
                <w:lang w:val="es-CL"/>
              </w:rPr>
              <w:t>e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los principios que </w:t>
            </w:r>
            <w:r>
              <w:rPr>
                <w:rFonts w:ascii="Arial" w:hAnsi="Arial" w:cs="Arial"/>
                <w:color w:val="000000"/>
                <w:lang w:val="es-CL"/>
              </w:rPr>
              <w:t>guían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CL"/>
              </w:rPr>
              <w:t>el actuar</w:t>
            </w:r>
            <w:r w:rsidRPr="00922D2D">
              <w:rPr>
                <w:rFonts w:ascii="Arial" w:hAnsi="Arial" w:cs="Arial"/>
                <w:color w:val="000000"/>
                <w:lang w:val="es-CL"/>
              </w:rPr>
              <w:t xml:space="preserve"> de </w:t>
            </w:r>
            <w:r>
              <w:rPr>
                <w:rFonts w:ascii="Arial" w:hAnsi="Arial" w:cs="Arial"/>
                <w:color w:val="000000"/>
                <w:lang w:val="es-CL"/>
              </w:rPr>
              <w:t>todo su personal, independiente del vínculo contractual con ella, y cuenta con procedimientos adecuados para capacitar a su personal respecto de tales principios.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C2162" w:rsidRPr="00922D2D" w:rsidRDefault="00BC2162" w:rsidP="00C430D2">
            <w:pPr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>Explicación: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B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.</w:t>
            </w:r>
            <w:r w:rsidRPr="00922D2D">
              <w:rPr>
                <w:b/>
                <w:bCs/>
                <w:color w:val="000000"/>
                <w:sz w:val="14"/>
                <w:szCs w:val="14"/>
                <w:lang w:val="es-CL"/>
              </w:rPr>
              <w:t xml:space="preserve">   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Otras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prácticas a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doptadas por la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sociedad, referidas a las materias de este numeral  (N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o más de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5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)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  <w:tr w:rsidR="00BC2162" w:rsidRPr="00922D2D" w:rsidTr="00C430D2">
        <w:trPr>
          <w:trHeight w:val="96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801A06" w:rsidRDefault="00BC2162" w:rsidP="00BC216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Otras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prácticas a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doptadas por la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sociedad, que no están referidas a las materias antes señaladas  (N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o más de 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5</w:t>
            </w:r>
            <w:r w:rsidRPr="00922D2D">
              <w:rPr>
                <w:rFonts w:ascii="Arial" w:hAnsi="Arial" w:cs="Arial"/>
                <w:b/>
                <w:bCs/>
                <w:color w:val="000000"/>
                <w:lang w:val="es-CL"/>
              </w:rPr>
              <w:t>)</w:t>
            </w:r>
          </w:p>
        </w:tc>
      </w:tr>
      <w:tr w:rsidR="00BC2162" w:rsidRPr="00922D2D" w:rsidTr="00C430D2">
        <w:trPr>
          <w:trHeight w:val="960"/>
        </w:trPr>
        <w:tc>
          <w:tcPr>
            <w:tcW w:w="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162" w:rsidRPr="00922D2D" w:rsidRDefault="00BC2162" w:rsidP="00C430D2">
            <w:pP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</w:pPr>
            <w:r w:rsidRPr="00922D2D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 </w:t>
            </w:r>
          </w:p>
        </w:tc>
        <w:tc>
          <w:tcPr>
            <w:tcW w:w="49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2162" w:rsidRPr="00922D2D" w:rsidRDefault="00BC2162" w:rsidP="00C430D2">
            <w:pPr>
              <w:jc w:val="center"/>
              <w:rPr>
                <w:rFonts w:ascii="Arial" w:hAnsi="Arial" w:cs="Arial"/>
                <w:color w:val="000000"/>
                <w:lang w:val="es-CL"/>
              </w:rPr>
            </w:pPr>
            <w:r w:rsidRPr="00922D2D">
              <w:rPr>
                <w:rFonts w:ascii="Arial" w:hAnsi="Arial" w:cs="Arial"/>
                <w:color w:val="000000"/>
                <w:lang w:val="es-CL"/>
              </w:rPr>
              <w:t> </w:t>
            </w:r>
          </w:p>
        </w:tc>
      </w:tr>
    </w:tbl>
    <w:p w:rsidR="00BC2162" w:rsidRPr="00922D2D" w:rsidRDefault="00BC2162" w:rsidP="00BC2162">
      <w:pPr>
        <w:pStyle w:val="Textodebloque"/>
        <w:tabs>
          <w:tab w:val="clear" w:pos="170"/>
          <w:tab w:val="clear" w:pos="737"/>
          <w:tab w:val="clear" w:pos="1304"/>
          <w:tab w:val="clear" w:pos="1871"/>
          <w:tab w:val="clear" w:pos="2438"/>
          <w:tab w:val="clear" w:pos="3005"/>
          <w:tab w:val="clear" w:pos="3572"/>
          <w:tab w:val="left" w:pos="0"/>
          <w:tab w:val="left" w:pos="851"/>
          <w:tab w:val="left" w:pos="1418"/>
          <w:tab w:val="left" w:pos="1985"/>
          <w:tab w:val="left" w:pos="2552"/>
          <w:tab w:val="left" w:pos="9356"/>
        </w:tabs>
        <w:ind w:left="360" w:right="4" w:firstLine="0"/>
        <w:rPr>
          <w:lang w:val="es-CL"/>
        </w:rPr>
      </w:pPr>
    </w:p>
    <w:p w:rsidR="00753275" w:rsidRPr="00BC2162" w:rsidRDefault="00753275">
      <w:pPr>
        <w:rPr>
          <w:lang w:val="es-CL"/>
        </w:rPr>
      </w:pPr>
    </w:p>
    <w:sectPr w:rsidR="00753275" w:rsidRPr="00BC2162" w:rsidSect="00BC2162">
      <w:headerReference w:type="default" r:id="rId6"/>
      <w:footerReference w:type="even" r:id="rId7"/>
      <w:footerReference w:type="default" r:id="rId8"/>
      <w:pgSz w:w="11907" w:h="16840" w:code="9"/>
      <w:pgMar w:top="3119" w:right="851" w:bottom="2325" w:left="1418" w:header="1418" w:footer="851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58" w:rsidRDefault="00BC2162" w:rsidP="00013B9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6D58" w:rsidRDefault="00BC2162" w:rsidP="001C036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58" w:rsidRPr="001C0368" w:rsidRDefault="00BC2162" w:rsidP="00013B9A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  <w:r w:rsidRPr="001C0368">
      <w:rPr>
        <w:rStyle w:val="Nmerodepgina"/>
        <w:rFonts w:ascii="Arial" w:hAnsi="Arial" w:cs="Arial"/>
        <w:sz w:val="18"/>
        <w:szCs w:val="18"/>
      </w:rPr>
      <w:fldChar w:fldCharType="begin"/>
    </w:r>
    <w:r w:rsidRPr="001C0368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1C0368">
      <w:rPr>
        <w:rStyle w:val="Nmerodepgina"/>
        <w:rFonts w:ascii="Arial" w:hAnsi="Arial" w:cs="Arial"/>
        <w:sz w:val="18"/>
        <w:szCs w:val="18"/>
      </w:rPr>
      <w:fldChar w:fldCharType="separate"/>
    </w:r>
    <w:r>
      <w:rPr>
        <w:rStyle w:val="Nmerodepgina"/>
        <w:rFonts w:ascii="Arial" w:hAnsi="Arial" w:cs="Arial"/>
        <w:noProof/>
        <w:sz w:val="18"/>
        <w:szCs w:val="18"/>
      </w:rPr>
      <w:t>2</w:t>
    </w:r>
    <w:r w:rsidRPr="001C0368">
      <w:rPr>
        <w:rStyle w:val="Nmerodepgina"/>
        <w:rFonts w:ascii="Arial" w:hAnsi="Arial" w:cs="Arial"/>
        <w:sz w:val="18"/>
        <w:szCs w:val="18"/>
      </w:rPr>
      <w:fldChar w:fldCharType="end"/>
    </w:r>
  </w:p>
  <w:p w:rsidR="00A46D58" w:rsidRPr="00910031" w:rsidRDefault="00BC2162" w:rsidP="001C0368">
    <w:pPr>
      <w:pStyle w:val="Piedepgina"/>
      <w:tabs>
        <w:tab w:val="clear" w:pos="4252"/>
        <w:tab w:val="clear" w:pos="8504"/>
        <w:tab w:val="left" w:pos="0"/>
        <w:tab w:val="left" w:pos="9639"/>
      </w:tabs>
      <w:ind w:right="360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58" w:rsidRDefault="00BC21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C22EF"/>
    <w:multiLevelType w:val="hybridMultilevel"/>
    <w:tmpl w:val="E300FCD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065BC"/>
    <w:multiLevelType w:val="hybridMultilevel"/>
    <w:tmpl w:val="6A0AA1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62"/>
    <w:rsid w:val="00753275"/>
    <w:rsid w:val="00BC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C21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C2162"/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paragraph" w:styleId="Piedepgina">
    <w:name w:val="footer"/>
    <w:basedOn w:val="Normal"/>
    <w:link w:val="PiedepginaCar"/>
    <w:rsid w:val="00BC21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C2162"/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paragraph" w:styleId="Textodebloque">
    <w:name w:val="Block Text"/>
    <w:basedOn w:val="Normal"/>
    <w:rsid w:val="00BC2162"/>
    <w:pPr>
      <w:tabs>
        <w:tab w:val="left" w:pos="170"/>
        <w:tab w:val="left" w:pos="737"/>
        <w:tab w:val="left" w:pos="1304"/>
        <w:tab w:val="left" w:pos="1871"/>
        <w:tab w:val="left" w:pos="2438"/>
        <w:tab w:val="left" w:pos="3005"/>
        <w:tab w:val="left" w:pos="3572"/>
      </w:tabs>
      <w:suppressAutoHyphens/>
      <w:ind w:left="142" w:right="397" w:hanging="142"/>
      <w:jc w:val="both"/>
    </w:pPr>
    <w:rPr>
      <w:rFonts w:ascii="Univers" w:hAnsi="Univers"/>
      <w:spacing w:val="-2"/>
      <w:lang w:val="es-ES_tradnl"/>
    </w:rPr>
  </w:style>
  <w:style w:type="character" w:styleId="Nmerodepgina">
    <w:name w:val="page number"/>
    <w:basedOn w:val="Fuentedeprrafopredeter"/>
    <w:rsid w:val="00BC2162"/>
  </w:style>
  <w:style w:type="paragraph" w:styleId="Prrafodelista">
    <w:name w:val="List Paragraph"/>
    <w:basedOn w:val="Normal"/>
    <w:uiPriority w:val="34"/>
    <w:qFormat/>
    <w:rsid w:val="00BC216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C21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C2162"/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paragraph" w:styleId="Piedepgina">
    <w:name w:val="footer"/>
    <w:basedOn w:val="Normal"/>
    <w:link w:val="PiedepginaCar"/>
    <w:rsid w:val="00BC21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C2162"/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paragraph" w:styleId="Textodebloque">
    <w:name w:val="Block Text"/>
    <w:basedOn w:val="Normal"/>
    <w:rsid w:val="00BC2162"/>
    <w:pPr>
      <w:tabs>
        <w:tab w:val="left" w:pos="170"/>
        <w:tab w:val="left" w:pos="737"/>
        <w:tab w:val="left" w:pos="1304"/>
        <w:tab w:val="left" w:pos="1871"/>
        <w:tab w:val="left" w:pos="2438"/>
        <w:tab w:val="left" w:pos="3005"/>
        <w:tab w:val="left" w:pos="3572"/>
      </w:tabs>
      <w:suppressAutoHyphens/>
      <w:ind w:left="142" w:right="397" w:hanging="142"/>
      <w:jc w:val="both"/>
    </w:pPr>
    <w:rPr>
      <w:rFonts w:ascii="Univers" w:hAnsi="Univers"/>
      <w:spacing w:val="-2"/>
      <w:lang w:val="es-ES_tradnl"/>
    </w:rPr>
  </w:style>
  <w:style w:type="character" w:styleId="Nmerodepgina">
    <w:name w:val="page number"/>
    <w:basedOn w:val="Fuentedeprrafopredeter"/>
    <w:rsid w:val="00BC2162"/>
  </w:style>
  <w:style w:type="paragraph" w:styleId="Prrafodelista">
    <w:name w:val="List Paragraph"/>
    <w:basedOn w:val="Normal"/>
    <w:uiPriority w:val="34"/>
    <w:qFormat/>
    <w:rsid w:val="00BC21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1620</Words>
  <Characters>8916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Monsalve Carlos Alberto</dc:creator>
  <cp:lastModifiedBy>Fernández Monsalve Carlos Alberto</cp:lastModifiedBy>
  <cp:revision>1</cp:revision>
  <dcterms:created xsi:type="dcterms:W3CDTF">2013-03-18T19:53:00Z</dcterms:created>
  <dcterms:modified xsi:type="dcterms:W3CDTF">2013-03-18T19:55:00Z</dcterms:modified>
</cp:coreProperties>
</file>