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FD5DD" w14:textId="77777777" w:rsidR="0011659F" w:rsidRPr="0011659F" w:rsidRDefault="0011659F" w:rsidP="0011659F">
      <w:pPr>
        <w:jc w:val="center"/>
        <w:rPr>
          <w:rFonts w:ascii="Helvetica" w:hAnsi="Helvetica" w:cs="Helvetica"/>
          <w:b/>
          <w:szCs w:val="24"/>
          <w:lang w:val="es-CL"/>
        </w:rPr>
      </w:pPr>
      <w:bookmarkStart w:id="0" w:name="_GoBack"/>
      <w:bookmarkEnd w:id="0"/>
      <w:r w:rsidRPr="0011659F">
        <w:rPr>
          <w:rFonts w:ascii="Helvetica" w:hAnsi="Helvetica" w:cs="Helvetica"/>
          <w:b/>
          <w:szCs w:val="24"/>
          <w:lang w:val="es-CL"/>
        </w:rPr>
        <w:t>RDT S.A.</w:t>
      </w:r>
    </w:p>
    <w:p w14:paraId="1C9C75D3" w14:textId="77777777" w:rsidR="0011659F" w:rsidRPr="0011659F" w:rsidRDefault="0011659F" w:rsidP="0011659F">
      <w:pPr>
        <w:rPr>
          <w:rFonts w:ascii="Helvetica" w:hAnsi="Helvetica" w:cs="Helvetica"/>
          <w:b/>
          <w:szCs w:val="24"/>
          <w:lang w:val="es-CL"/>
        </w:rPr>
      </w:pPr>
    </w:p>
    <w:p w14:paraId="3960E0C4" w14:textId="77777777" w:rsidR="0011659F" w:rsidRPr="0011659F" w:rsidRDefault="0011659F" w:rsidP="0011659F">
      <w:pPr>
        <w:jc w:val="center"/>
        <w:rPr>
          <w:rFonts w:ascii="Helvetica" w:hAnsi="Helvetica" w:cs="Helvetica"/>
          <w:szCs w:val="24"/>
          <w:lang w:val="es-CL"/>
        </w:rPr>
      </w:pPr>
      <w:r>
        <w:rPr>
          <w:rFonts w:ascii="Helvetica" w:hAnsi="Helvetica" w:cs="Helvetica"/>
          <w:szCs w:val="24"/>
          <w:lang w:val="es-CL"/>
        </w:rPr>
        <w:t>HECHOS RELEVANTES</w:t>
      </w:r>
    </w:p>
    <w:p w14:paraId="549B931F" w14:textId="77777777" w:rsidR="00B11272" w:rsidRPr="00F87781" w:rsidRDefault="008A6344">
      <w:pPr>
        <w:rPr>
          <w:szCs w:val="24"/>
          <w:lang w:val="es-ES"/>
        </w:rPr>
      </w:pPr>
    </w:p>
    <w:p w14:paraId="6F67F6E2" w14:textId="77777777" w:rsidR="0011659F" w:rsidRDefault="0011659F" w:rsidP="0011659F">
      <w:pPr>
        <w:suppressAutoHyphens w:val="0"/>
        <w:ind w:left="567"/>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Por el período comprendido entre el 1 de enero al 3</w:t>
      </w:r>
      <w:r w:rsidR="005A7EB6">
        <w:rPr>
          <w:rFonts w:ascii="Helvetica" w:hAnsi="Helvetica" w:cs="Helvetica"/>
          <w:snapToGrid w:val="0"/>
          <w:szCs w:val="24"/>
          <w:lang w:val="es-CL" w:eastAsia="es-ES"/>
        </w:rPr>
        <w:t>0</w:t>
      </w:r>
      <w:r w:rsidRPr="0011659F">
        <w:rPr>
          <w:rFonts w:ascii="Helvetica" w:hAnsi="Helvetica" w:cs="Helvetica"/>
          <w:snapToGrid w:val="0"/>
          <w:szCs w:val="24"/>
          <w:lang w:val="es-CL" w:eastAsia="es-ES"/>
        </w:rPr>
        <w:t xml:space="preserve"> de </w:t>
      </w:r>
      <w:r w:rsidR="005A7EB6">
        <w:rPr>
          <w:rFonts w:ascii="Helvetica" w:hAnsi="Helvetica" w:cs="Helvetica"/>
          <w:snapToGrid w:val="0"/>
          <w:szCs w:val="24"/>
          <w:lang w:val="es-CL" w:eastAsia="es-ES"/>
        </w:rPr>
        <w:t>junio</w:t>
      </w:r>
      <w:r w:rsidRPr="0011659F">
        <w:rPr>
          <w:rFonts w:ascii="Helvetica" w:hAnsi="Helvetica" w:cs="Helvetica"/>
          <w:snapToGrid w:val="0"/>
          <w:szCs w:val="24"/>
          <w:lang w:val="es-CL" w:eastAsia="es-ES"/>
        </w:rPr>
        <w:t xml:space="preserve"> de 20</w:t>
      </w:r>
      <w:r w:rsidR="009C6446">
        <w:rPr>
          <w:rFonts w:ascii="Helvetica" w:hAnsi="Helvetica" w:cs="Helvetica"/>
          <w:snapToGrid w:val="0"/>
          <w:szCs w:val="24"/>
          <w:lang w:val="es-CL" w:eastAsia="es-ES"/>
        </w:rPr>
        <w:t>20</w:t>
      </w:r>
    </w:p>
    <w:p w14:paraId="02772827" w14:textId="77777777" w:rsidR="0011659F" w:rsidRDefault="0011659F" w:rsidP="0011659F">
      <w:pPr>
        <w:suppressAutoHyphens w:val="0"/>
        <w:ind w:left="567"/>
        <w:jc w:val="both"/>
        <w:rPr>
          <w:rFonts w:ascii="Helvetica" w:hAnsi="Helvetica" w:cs="Helvetica"/>
          <w:snapToGrid w:val="0"/>
          <w:szCs w:val="24"/>
          <w:lang w:val="es-CL" w:eastAsia="es-ES"/>
        </w:rPr>
      </w:pPr>
    </w:p>
    <w:p w14:paraId="304C10F3" w14:textId="77777777" w:rsidR="0011659F" w:rsidRPr="0011659F" w:rsidRDefault="0011659F" w:rsidP="0011659F">
      <w:pPr>
        <w:pStyle w:val="Prrafodelista"/>
        <w:numPr>
          <w:ilvl w:val="0"/>
          <w:numId w:val="2"/>
        </w:numPr>
        <w:suppressAutoHyphens w:val="0"/>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 xml:space="preserve">Con </w:t>
      </w:r>
      <w:r w:rsidR="001614C6" w:rsidRPr="0011659F">
        <w:rPr>
          <w:rFonts w:ascii="Helvetica" w:hAnsi="Helvetica" w:cs="Helvetica"/>
          <w:snapToGrid w:val="0"/>
          <w:szCs w:val="24"/>
          <w:lang w:val="es-CL" w:eastAsia="es-ES"/>
        </w:rPr>
        <w:t>fecha</w:t>
      </w:r>
      <w:r w:rsidR="007104DC">
        <w:rPr>
          <w:rFonts w:ascii="Helvetica" w:hAnsi="Helvetica" w:cs="Helvetica"/>
          <w:snapToGrid w:val="0"/>
          <w:szCs w:val="24"/>
          <w:lang w:val="es-CL" w:eastAsia="es-ES"/>
        </w:rPr>
        <w:t xml:space="preserve"> 24 de abril de 2020 </w:t>
      </w:r>
      <w:r w:rsidRPr="0011659F">
        <w:rPr>
          <w:rFonts w:ascii="Helvetica" w:hAnsi="Helvetica" w:cs="Helvetica"/>
          <w:snapToGrid w:val="0"/>
          <w:szCs w:val="24"/>
          <w:lang w:val="es-CL" w:eastAsia="es-ES"/>
        </w:rPr>
        <w:t>se llevó a cabo la Junta Ordinaria de Accionistas de RDT S.A., en la cual se tomaron y aprobaron los siguientes acuerdos:</w:t>
      </w:r>
    </w:p>
    <w:p w14:paraId="7132F745" w14:textId="77777777" w:rsidR="0011659F" w:rsidRDefault="0011659F" w:rsidP="0011659F">
      <w:pPr>
        <w:suppressAutoHyphens w:val="0"/>
        <w:ind w:left="567"/>
        <w:jc w:val="both"/>
        <w:rPr>
          <w:rFonts w:ascii="Helvetica" w:hAnsi="Helvetica" w:cs="Helvetica"/>
          <w:snapToGrid w:val="0"/>
          <w:szCs w:val="24"/>
          <w:lang w:val="es-CL" w:eastAsia="es-ES"/>
        </w:rPr>
      </w:pPr>
    </w:p>
    <w:p w14:paraId="4B44FD5D" w14:textId="77777777" w:rsidR="0011659F" w:rsidRDefault="001614C6"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Se aprobaron</w:t>
      </w:r>
      <w:r w:rsidR="0011659F">
        <w:rPr>
          <w:rFonts w:ascii="Helvetica" w:hAnsi="Helvetica" w:cs="Helvetica"/>
          <w:snapToGrid w:val="0"/>
          <w:szCs w:val="24"/>
          <w:lang w:val="es-CL" w:eastAsia="es-ES"/>
        </w:rPr>
        <w:t xml:space="preserve"> los estados financieros al 31 de diciembre de 201</w:t>
      </w:r>
      <w:r w:rsidR="00765ADC">
        <w:rPr>
          <w:rFonts w:ascii="Helvetica" w:hAnsi="Helvetica" w:cs="Helvetica"/>
          <w:snapToGrid w:val="0"/>
          <w:szCs w:val="24"/>
          <w:lang w:val="es-CL" w:eastAsia="es-ES"/>
        </w:rPr>
        <w:t>9</w:t>
      </w:r>
      <w:r w:rsidR="0011659F">
        <w:rPr>
          <w:rFonts w:ascii="Helvetica" w:hAnsi="Helvetica" w:cs="Helvetica"/>
          <w:snapToGrid w:val="0"/>
          <w:szCs w:val="24"/>
          <w:lang w:val="es-CL" w:eastAsia="es-ES"/>
        </w:rPr>
        <w:t xml:space="preserve"> y el informe de los auditores externos de la firma </w:t>
      </w:r>
      <w:proofErr w:type="spellStart"/>
      <w:r w:rsidR="00CC4777">
        <w:rPr>
          <w:rFonts w:ascii="Helvetica" w:hAnsi="Helvetica" w:cs="Helvetica"/>
          <w:snapToGrid w:val="0"/>
          <w:szCs w:val="24"/>
          <w:lang w:val="es-CL" w:eastAsia="es-ES"/>
        </w:rPr>
        <w:t>Kreston</w:t>
      </w:r>
      <w:proofErr w:type="spellEnd"/>
      <w:r w:rsidR="00CC4777">
        <w:rPr>
          <w:rFonts w:ascii="Helvetica" w:hAnsi="Helvetica" w:cs="Helvetica"/>
          <w:snapToGrid w:val="0"/>
          <w:szCs w:val="24"/>
          <w:lang w:val="es-CL" w:eastAsia="es-ES"/>
        </w:rPr>
        <w:t xml:space="preserve"> MCA</w:t>
      </w:r>
      <w:r w:rsidR="0011659F">
        <w:rPr>
          <w:rFonts w:ascii="Helvetica" w:hAnsi="Helvetica" w:cs="Helvetica"/>
          <w:snapToGrid w:val="0"/>
          <w:szCs w:val="24"/>
          <w:lang w:val="es-CL" w:eastAsia="es-ES"/>
        </w:rPr>
        <w:t>.</w:t>
      </w:r>
    </w:p>
    <w:p w14:paraId="30B8B6D2" w14:textId="77777777" w:rsidR="00944390" w:rsidRDefault="00944390" w:rsidP="00944390">
      <w:pPr>
        <w:pStyle w:val="Prrafodelista"/>
        <w:suppressAutoHyphens w:val="0"/>
        <w:ind w:left="1287"/>
        <w:jc w:val="both"/>
        <w:rPr>
          <w:rFonts w:ascii="Helvetica" w:hAnsi="Helvetica" w:cs="Helvetica"/>
          <w:snapToGrid w:val="0"/>
          <w:szCs w:val="24"/>
          <w:lang w:val="es-CL" w:eastAsia="es-ES"/>
        </w:rPr>
      </w:pPr>
    </w:p>
    <w:p w14:paraId="394A6E8E" w14:textId="77777777" w:rsidR="00944390" w:rsidRPr="007F0DB6" w:rsidRDefault="00944390" w:rsidP="00944390">
      <w:pPr>
        <w:pStyle w:val="Prrafodelista"/>
        <w:numPr>
          <w:ilvl w:val="0"/>
          <w:numId w:val="3"/>
        </w:numPr>
        <w:suppressAutoHyphens w:val="0"/>
        <w:jc w:val="both"/>
        <w:rPr>
          <w:rFonts w:ascii="Helvetica" w:hAnsi="Helvetica" w:cs="Helvetica"/>
          <w:snapToGrid w:val="0"/>
          <w:szCs w:val="24"/>
          <w:lang w:val="es-CL" w:eastAsia="es-ES"/>
        </w:rPr>
      </w:pPr>
      <w:r w:rsidRPr="007F0DB6">
        <w:rPr>
          <w:rFonts w:ascii="Helvetica" w:hAnsi="Helvetica" w:cs="Helvetica"/>
          <w:snapToGrid w:val="0"/>
          <w:szCs w:val="24"/>
          <w:lang w:val="es-CL" w:eastAsia="es-ES"/>
        </w:rPr>
        <w:t xml:space="preserve">De acuerdo a los estatutos de la Sociedad correspondía elegir o reelegir Directorio de la Sociedad. Se decidió por unanimidad mantener al Señor Tomás Mosciatti Olivieri como </w:t>
      </w:r>
      <w:r w:rsidR="000D1D8B" w:rsidRPr="007F0DB6">
        <w:rPr>
          <w:rFonts w:ascii="Helvetica" w:hAnsi="Helvetica" w:cs="Helvetica"/>
          <w:snapToGrid w:val="0"/>
          <w:szCs w:val="24"/>
          <w:lang w:val="es-CL" w:eastAsia="es-ES"/>
        </w:rPr>
        <w:t>presidente</w:t>
      </w:r>
      <w:r w:rsidRPr="007F0DB6">
        <w:rPr>
          <w:rFonts w:ascii="Helvetica" w:hAnsi="Helvetica" w:cs="Helvetica"/>
          <w:snapToGrid w:val="0"/>
          <w:szCs w:val="24"/>
          <w:lang w:val="es-CL" w:eastAsia="es-ES"/>
        </w:rPr>
        <w:t>, don Nibaldo Mosciatti Olivieri como Vice-Presidente y don Piero Mosciatti Olivieri como Director. El señor Mauro Mosciatti Olivieri seguirá desempeñándose como Gerente General.</w:t>
      </w:r>
    </w:p>
    <w:p w14:paraId="7780165F" w14:textId="77777777" w:rsidR="0011659F" w:rsidRDefault="0011659F" w:rsidP="0011659F">
      <w:pPr>
        <w:pStyle w:val="Prrafodelista"/>
        <w:suppressAutoHyphens w:val="0"/>
        <w:ind w:left="1287"/>
        <w:jc w:val="both"/>
        <w:rPr>
          <w:rFonts w:ascii="Helvetica" w:hAnsi="Helvetica" w:cs="Helvetica"/>
          <w:snapToGrid w:val="0"/>
          <w:szCs w:val="24"/>
          <w:lang w:val="es-CL" w:eastAsia="es-ES"/>
        </w:rPr>
      </w:pPr>
    </w:p>
    <w:p w14:paraId="07E74415" w14:textId="77777777" w:rsidR="0011659F" w:rsidRDefault="0011659F"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 xml:space="preserve">Se mantuvo la condición respecto de que los </w:t>
      </w:r>
      <w:r w:rsidR="000D1D8B">
        <w:rPr>
          <w:rFonts w:ascii="Helvetica" w:hAnsi="Helvetica" w:cs="Helvetica"/>
          <w:snapToGrid w:val="0"/>
          <w:szCs w:val="24"/>
          <w:lang w:val="es-CL" w:eastAsia="es-ES"/>
        </w:rPr>
        <w:t>directores</w:t>
      </w:r>
      <w:r>
        <w:rPr>
          <w:rFonts w:ascii="Helvetica" w:hAnsi="Helvetica" w:cs="Helvetica"/>
          <w:snapToGrid w:val="0"/>
          <w:szCs w:val="24"/>
          <w:lang w:val="es-CL" w:eastAsia="es-ES"/>
        </w:rPr>
        <w:t xml:space="preserve"> no tendrían remuneración por el ejercicio de sus funciones.</w:t>
      </w:r>
    </w:p>
    <w:p w14:paraId="4E2B9FFC" w14:textId="77777777" w:rsidR="0011659F" w:rsidRDefault="0011659F" w:rsidP="0011659F">
      <w:pPr>
        <w:pStyle w:val="Prrafodelista"/>
        <w:suppressAutoHyphens w:val="0"/>
        <w:ind w:left="1287"/>
        <w:jc w:val="both"/>
        <w:rPr>
          <w:rFonts w:ascii="Helvetica" w:hAnsi="Helvetica" w:cs="Helvetica"/>
          <w:snapToGrid w:val="0"/>
          <w:szCs w:val="24"/>
          <w:lang w:val="es-CL" w:eastAsia="es-ES"/>
        </w:rPr>
      </w:pPr>
    </w:p>
    <w:p w14:paraId="7AA575E3" w14:textId="77777777" w:rsidR="0011659F" w:rsidRPr="0011659F" w:rsidRDefault="0011659F" w:rsidP="001614C6">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Considerando la existencia de pérdidas acumuladas no existió un planteamiento respecto a la distribución de utilidades</w:t>
      </w:r>
      <w:r w:rsidR="001614C6">
        <w:rPr>
          <w:rFonts w:ascii="Helvetica" w:hAnsi="Helvetica" w:cs="Helvetica"/>
          <w:snapToGrid w:val="0"/>
          <w:szCs w:val="24"/>
          <w:lang w:val="es-CL" w:eastAsia="es-ES"/>
        </w:rPr>
        <w:t xml:space="preserve"> y solo se mantiene el apoyo </w:t>
      </w:r>
      <w:r w:rsidR="001614C6" w:rsidRPr="001614C6">
        <w:rPr>
          <w:rFonts w:ascii="Helvetica" w:hAnsi="Helvetica" w:cs="Helvetica"/>
          <w:snapToGrid w:val="0"/>
          <w:szCs w:val="24"/>
          <w:lang w:val="es-CL" w:eastAsia="es-ES"/>
        </w:rPr>
        <w:t>de las empresas relacionadas para cubrir el patrimonio negativo que presentan los estados financieros intermedios</w:t>
      </w:r>
      <w:r>
        <w:rPr>
          <w:rFonts w:ascii="Helvetica" w:hAnsi="Helvetica" w:cs="Helvetica"/>
          <w:snapToGrid w:val="0"/>
          <w:szCs w:val="24"/>
          <w:lang w:val="es-CL" w:eastAsia="es-ES"/>
        </w:rPr>
        <w:t>.</w:t>
      </w:r>
    </w:p>
    <w:p w14:paraId="38A88285" w14:textId="77777777" w:rsidR="0011659F" w:rsidRDefault="0011659F" w:rsidP="0011659F">
      <w:pPr>
        <w:suppressAutoHyphens w:val="0"/>
        <w:ind w:left="567"/>
        <w:jc w:val="both"/>
        <w:rPr>
          <w:rFonts w:ascii="Helvetica" w:hAnsi="Helvetica" w:cs="Helvetica"/>
          <w:snapToGrid w:val="0"/>
          <w:szCs w:val="24"/>
          <w:lang w:val="es-CL" w:eastAsia="es-ES"/>
        </w:rPr>
      </w:pPr>
    </w:p>
    <w:p w14:paraId="33A4084D" w14:textId="725151B7" w:rsidR="0011659F" w:rsidRDefault="001614C6" w:rsidP="0011659F">
      <w:pPr>
        <w:pStyle w:val="Prrafodelista"/>
        <w:numPr>
          <w:ilvl w:val="0"/>
          <w:numId w:val="2"/>
        </w:numPr>
        <w:suppressAutoHyphens w:val="0"/>
        <w:jc w:val="both"/>
        <w:rPr>
          <w:rFonts w:ascii="Helvetica" w:hAnsi="Helvetica" w:cs="Helvetica"/>
          <w:snapToGrid w:val="0"/>
          <w:szCs w:val="24"/>
          <w:lang w:val="es-CL" w:eastAsia="es-ES"/>
        </w:rPr>
      </w:pPr>
      <w:bookmarkStart w:id="1" w:name="_Hlk531168991"/>
      <w:r>
        <w:rPr>
          <w:rFonts w:ascii="Helvetica" w:hAnsi="Helvetica" w:cs="Helvetica"/>
          <w:snapToGrid w:val="0"/>
          <w:szCs w:val="24"/>
          <w:lang w:val="es-CL" w:eastAsia="es-ES"/>
        </w:rPr>
        <w:t>Con fecha 06 de marzo de 2018 falleció la señora Olga Olivieri, accionista principal de la sociedad, lo que generará una modificación del accionista principal. Pero no se prevén cambios en la Administración de la entidad</w:t>
      </w:r>
      <w:r w:rsidR="00BE03D1">
        <w:rPr>
          <w:rFonts w:ascii="Helvetica" w:hAnsi="Helvetica" w:cs="Helvetica"/>
          <w:snapToGrid w:val="0"/>
          <w:szCs w:val="24"/>
          <w:lang w:val="es-CL" w:eastAsia="es-ES"/>
        </w:rPr>
        <w:t>.</w:t>
      </w:r>
    </w:p>
    <w:p w14:paraId="34B8C228" w14:textId="77777777" w:rsidR="006C5360" w:rsidRDefault="006C5360" w:rsidP="006C5360">
      <w:pPr>
        <w:pStyle w:val="Prrafodelista"/>
        <w:suppressAutoHyphens w:val="0"/>
        <w:ind w:left="927"/>
        <w:jc w:val="both"/>
        <w:rPr>
          <w:rFonts w:ascii="Helvetica" w:hAnsi="Helvetica" w:cs="Helvetica"/>
          <w:snapToGrid w:val="0"/>
          <w:szCs w:val="24"/>
          <w:lang w:val="es-CL" w:eastAsia="es-ES"/>
        </w:rPr>
      </w:pPr>
    </w:p>
    <w:p w14:paraId="5D5E2BB0" w14:textId="5FBAA7B6" w:rsidR="006C5360" w:rsidRDefault="006C5360" w:rsidP="0011659F">
      <w:pPr>
        <w:pStyle w:val="Prrafodelista"/>
        <w:numPr>
          <w:ilvl w:val="0"/>
          <w:numId w:val="2"/>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Los estados financieros al 31 de diciembre de 2019 no consideraron los eventuales efectos del COVID 19 en la nota de hechos posteriores, ya que estos fueron emitidos con fecha 10 de marzo de 2020, ante lo cual en los estados financieros intermedios al 30 de junio de 2020 se evaluaron estos efectos, pero como potenciales contingencias y se concordó la siguiente información a entregar a los usuarios:</w:t>
      </w:r>
    </w:p>
    <w:p w14:paraId="729AF4F0" w14:textId="77777777" w:rsidR="006C5360" w:rsidRDefault="006C5360" w:rsidP="006C5360">
      <w:pPr>
        <w:pStyle w:val="Default"/>
      </w:pPr>
    </w:p>
    <w:p w14:paraId="3DB3842A" w14:textId="312DC442" w:rsidR="006C5360" w:rsidRPr="006C5360" w:rsidRDefault="006C5360" w:rsidP="006C5360">
      <w:pPr>
        <w:pStyle w:val="Default"/>
        <w:ind w:left="851"/>
        <w:jc w:val="both"/>
        <w:rPr>
          <w:rFonts w:ascii="Helvetica" w:eastAsia="Times New Roman" w:hAnsi="Helvetica" w:cs="Helvetica"/>
          <w:snapToGrid w:val="0"/>
          <w:color w:val="auto"/>
          <w:lang w:eastAsia="es-ES"/>
        </w:rPr>
      </w:pPr>
      <w:r>
        <w:rPr>
          <w:rFonts w:ascii="Helvetica" w:eastAsia="Times New Roman" w:hAnsi="Helvetica" w:cs="Helvetica"/>
          <w:snapToGrid w:val="0"/>
          <w:color w:val="auto"/>
          <w:lang w:eastAsia="es-ES"/>
        </w:rPr>
        <w:t>“</w:t>
      </w:r>
      <w:r w:rsidRPr="006C5360">
        <w:rPr>
          <w:rFonts w:ascii="Helvetica" w:eastAsia="Times New Roman" w:hAnsi="Helvetica" w:cs="Helvetica"/>
          <w:snapToGrid w:val="0"/>
          <w:color w:val="auto"/>
          <w:lang w:eastAsia="es-ES"/>
        </w:rPr>
        <w:t xml:space="preserve">Con fecha 18 de marzo de 2020, el Presidente de la República decretó el Estado de Excepción Constitucional de Catástrofe en todo el territorio nacional, con ocasión de la pandemia del Covid-19. Este Estado de Catástrofe con una vigencia de 90 días fue debidamente prorrogado. </w:t>
      </w:r>
    </w:p>
    <w:p w14:paraId="3F8412F5" w14:textId="44E0CC64" w:rsidR="006C5360" w:rsidRPr="006C5360" w:rsidRDefault="006C5360" w:rsidP="006C5360">
      <w:pPr>
        <w:pStyle w:val="Default"/>
        <w:ind w:left="851"/>
        <w:jc w:val="both"/>
        <w:rPr>
          <w:rFonts w:ascii="Helvetica" w:eastAsia="Times New Roman" w:hAnsi="Helvetica" w:cs="Helvetica"/>
          <w:snapToGrid w:val="0"/>
          <w:color w:val="auto"/>
          <w:lang w:eastAsia="es-ES"/>
        </w:rPr>
      </w:pPr>
      <w:r w:rsidRPr="006C5360">
        <w:rPr>
          <w:rFonts w:ascii="Helvetica" w:eastAsia="Times New Roman" w:hAnsi="Helvetica" w:cs="Helvetica"/>
          <w:snapToGrid w:val="0"/>
          <w:color w:val="auto"/>
          <w:lang w:eastAsia="es-ES"/>
        </w:rPr>
        <w:t xml:space="preserve">El Estado de Excepción Constitucional permite dictar una serie de medidas, incluyendo la restricción de reuniones en espacios públicos, asegurar la distribución de bienes y servicios básicos, ordenar la formación de reservas de alimentos y otros bienes necesarios para la atención y subsistencia de </w:t>
      </w:r>
      <w:r w:rsidRPr="006C5360">
        <w:rPr>
          <w:rFonts w:ascii="Helvetica" w:eastAsia="Times New Roman" w:hAnsi="Helvetica" w:cs="Helvetica"/>
          <w:snapToGrid w:val="0"/>
          <w:color w:val="auto"/>
          <w:lang w:eastAsia="es-ES"/>
        </w:rPr>
        <w:lastRenderedPageBreak/>
        <w:t xml:space="preserve">la población, establecer cuarentenas o toques de queda, dictar medidas para la protección de servicios de utilidad pública, y limitar el tránsito o locomoción de personas. </w:t>
      </w:r>
    </w:p>
    <w:p w14:paraId="16C0CEB5" w14:textId="1FC86A50" w:rsidR="006C5360" w:rsidRDefault="006C5360" w:rsidP="006C5360">
      <w:pPr>
        <w:pStyle w:val="Default"/>
        <w:ind w:left="851"/>
        <w:jc w:val="both"/>
        <w:rPr>
          <w:rFonts w:ascii="Helvetica" w:eastAsia="Times New Roman" w:hAnsi="Helvetica" w:cs="Helvetica"/>
          <w:snapToGrid w:val="0"/>
          <w:color w:val="auto"/>
          <w:lang w:eastAsia="es-ES"/>
        </w:rPr>
      </w:pPr>
      <w:r w:rsidRPr="006C5360">
        <w:rPr>
          <w:rFonts w:ascii="Helvetica" w:eastAsia="Times New Roman" w:hAnsi="Helvetica" w:cs="Helvetica"/>
          <w:snapToGrid w:val="0"/>
          <w:color w:val="auto"/>
          <w:lang w:eastAsia="es-ES"/>
        </w:rPr>
        <w:t>La empresa se encuentra evaluando activamente y respondiendo, cuando sea posible, los posibles efectos del brote COVID-19 en nuestros empleados, clientes, proveedores, y evaluando las acciones gubernamentales que se están tomando para reducir su propagación. A la fecha de emisión de los presentes estados financieros, la empresa se ha visto afectada como toda la economía, pero ha continuado con sus operaciones manteniendo los resguardos que corresponden a la gravedad de la situación.</w:t>
      </w:r>
      <w:r>
        <w:rPr>
          <w:rFonts w:ascii="Helvetica" w:eastAsia="Times New Roman" w:hAnsi="Helvetica" w:cs="Helvetica"/>
          <w:snapToGrid w:val="0"/>
          <w:color w:val="auto"/>
          <w:lang w:eastAsia="es-ES"/>
        </w:rPr>
        <w:t>”</w:t>
      </w:r>
    </w:p>
    <w:p w14:paraId="66A349C4" w14:textId="21EAE3C1" w:rsidR="006C5360" w:rsidRDefault="006C5360" w:rsidP="006C5360">
      <w:pPr>
        <w:pStyle w:val="Default"/>
        <w:ind w:left="851"/>
        <w:jc w:val="both"/>
        <w:rPr>
          <w:rFonts w:ascii="Helvetica" w:eastAsia="Times New Roman" w:hAnsi="Helvetica" w:cs="Helvetica"/>
          <w:snapToGrid w:val="0"/>
          <w:color w:val="auto"/>
          <w:lang w:eastAsia="es-ES"/>
        </w:rPr>
      </w:pPr>
    </w:p>
    <w:p w14:paraId="4B301BD5" w14:textId="35CA3D1E" w:rsidR="006C5360" w:rsidRDefault="006C5360" w:rsidP="006C5360">
      <w:pPr>
        <w:pStyle w:val="Default"/>
        <w:ind w:left="851"/>
        <w:jc w:val="both"/>
        <w:rPr>
          <w:rFonts w:ascii="Helvetica" w:eastAsia="Times New Roman" w:hAnsi="Helvetica" w:cs="Helvetica"/>
          <w:snapToGrid w:val="0"/>
          <w:color w:val="auto"/>
          <w:lang w:eastAsia="es-ES"/>
        </w:rPr>
      </w:pPr>
      <w:r>
        <w:rPr>
          <w:rFonts w:ascii="Helvetica" w:eastAsia="Times New Roman" w:hAnsi="Helvetica" w:cs="Helvetica"/>
          <w:snapToGrid w:val="0"/>
          <w:color w:val="auto"/>
          <w:lang w:eastAsia="es-ES"/>
        </w:rPr>
        <w:t>Los ingresos ordinarios no se han visto mermados o afectados con la Pandemia</w:t>
      </w:r>
      <w:r w:rsidR="003A6B58">
        <w:rPr>
          <w:rFonts w:ascii="Helvetica" w:eastAsia="Times New Roman" w:hAnsi="Helvetica" w:cs="Helvetica"/>
          <w:snapToGrid w:val="0"/>
          <w:color w:val="auto"/>
          <w:lang w:eastAsia="es-ES"/>
        </w:rPr>
        <w:t xml:space="preserve">, de </w:t>
      </w:r>
      <w:proofErr w:type="gramStart"/>
      <w:r w:rsidR="003A6B58">
        <w:rPr>
          <w:rFonts w:ascii="Helvetica" w:eastAsia="Times New Roman" w:hAnsi="Helvetica" w:cs="Helvetica"/>
          <w:snapToGrid w:val="0"/>
          <w:color w:val="auto"/>
          <w:lang w:eastAsia="es-ES"/>
        </w:rPr>
        <w:t>hecho</w:t>
      </w:r>
      <w:proofErr w:type="gramEnd"/>
      <w:r w:rsidR="003A6B58">
        <w:rPr>
          <w:rFonts w:ascii="Helvetica" w:eastAsia="Times New Roman" w:hAnsi="Helvetica" w:cs="Helvetica"/>
          <w:snapToGrid w:val="0"/>
          <w:color w:val="auto"/>
          <w:lang w:eastAsia="es-ES"/>
        </w:rPr>
        <w:t xml:space="preserve"> mantienen el mismo nivel que el año 2019, sin embargo las actividades operacionales si han debido sufrir variaciones para dar cumplimiento a los requerimientos sanitarios y han representado un mayor esfuerzo de los colaboradores para alcanzar este nivel de ingresos.</w:t>
      </w:r>
    </w:p>
    <w:p w14:paraId="11A88015" w14:textId="05CCC5D5" w:rsidR="003A6B58" w:rsidRDefault="003A6B58" w:rsidP="006C5360">
      <w:pPr>
        <w:pStyle w:val="Default"/>
        <w:ind w:left="851"/>
        <w:jc w:val="both"/>
        <w:rPr>
          <w:rFonts w:ascii="Helvetica" w:eastAsia="Times New Roman" w:hAnsi="Helvetica" w:cs="Helvetica"/>
          <w:snapToGrid w:val="0"/>
          <w:color w:val="auto"/>
          <w:lang w:eastAsia="es-ES"/>
        </w:rPr>
      </w:pPr>
    </w:p>
    <w:p w14:paraId="1BCE27D7" w14:textId="6495E917" w:rsidR="003A6B58" w:rsidRPr="006C5360" w:rsidRDefault="003A6B58" w:rsidP="006C5360">
      <w:pPr>
        <w:pStyle w:val="Default"/>
        <w:ind w:left="851"/>
        <w:jc w:val="both"/>
        <w:rPr>
          <w:rFonts w:ascii="Helvetica" w:eastAsia="Times New Roman" w:hAnsi="Helvetica" w:cs="Helvetica"/>
          <w:snapToGrid w:val="0"/>
          <w:color w:val="auto"/>
          <w:lang w:eastAsia="es-ES"/>
        </w:rPr>
      </w:pPr>
      <w:r>
        <w:rPr>
          <w:rFonts w:ascii="Helvetica" w:eastAsia="Times New Roman" w:hAnsi="Helvetica" w:cs="Helvetica"/>
          <w:snapToGrid w:val="0"/>
          <w:color w:val="auto"/>
          <w:lang w:eastAsia="es-ES"/>
        </w:rPr>
        <w:t>La hipótesis de empresa en marcha no se ha visto afectada por la situación del COVID 19, pero sí existe una condición de patrimonio negativo que obliga a que la administración se mantenga evaluando acciones para revertir los resultados negativos.</w:t>
      </w:r>
    </w:p>
    <w:bookmarkEnd w:id="1"/>
    <w:p w14:paraId="36DF3F99" w14:textId="77777777" w:rsidR="00BE03D1" w:rsidRDefault="00BE03D1" w:rsidP="00BE03D1">
      <w:pPr>
        <w:pStyle w:val="Prrafodelista"/>
        <w:suppressAutoHyphens w:val="0"/>
        <w:ind w:left="927"/>
        <w:jc w:val="both"/>
        <w:rPr>
          <w:rFonts w:ascii="Helvetica" w:hAnsi="Helvetica" w:cs="Helvetica"/>
          <w:snapToGrid w:val="0"/>
          <w:szCs w:val="24"/>
          <w:lang w:val="es-CL" w:eastAsia="es-ES"/>
        </w:rPr>
      </w:pPr>
    </w:p>
    <w:sectPr w:rsidR="00BE03D1" w:rsidSect="005962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B2BEF"/>
    <w:multiLevelType w:val="hybridMultilevel"/>
    <w:tmpl w:val="460A74E8"/>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1" w15:restartNumberingAfterBreak="0">
    <w:nsid w:val="36E229C8"/>
    <w:multiLevelType w:val="hybridMultilevel"/>
    <w:tmpl w:val="DD382A98"/>
    <w:lvl w:ilvl="0" w:tplc="BFC4575C">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 w15:restartNumberingAfterBreak="0">
    <w:nsid w:val="3E8250A7"/>
    <w:multiLevelType w:val="hybridMultilevel"/>
    <w:tmpl w:val="B414DEAE"/>
    <w:lvl w:ilvl="0" w:tplc="340A0005">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9F"/>
    <w:rsid w:val="000D1D8B"/>
    <w:rsid w:val="000F6E3B"/>
    <w:rsid w:val="0011659F"/>
    <w:rsid w:val="001614C6"/>
    <w:rsid w:val="00272296"/>
    <w:rsid w:val="002D7FEA"/>
    <w:rsid w:val="003A6B58"/>
    <w:rsid w:val="00481AC9"/>
    <w:rsid w:val="004D1012"/>
    <w:rsid w:val="0052269B"/>
    <w:rsid w:val="005962CD"/>
    <w:rsid w:val="005A7EB6"/>
    <w:rsid w:val="00681F0D"/>
    <w:rsid w:val="006A5714"/>
    <w:rsid w:val="006C5360"/>
    <w:rsid w:val="007104DC"/>
    <w:rsid w:val="00765ADC"/>
    <w:rsid w:val="007F0DB6"/>
    <w:rsid w:val="008A6344"/>
    <w:rsid w:val="008F3306"/>
    <w:rsid w:val="008F65A7"/>
    <w:rsid w:val="00944390"/>
    <w:rsid w:val="009C6446"/>
    <w:rsid w:val="00AE18D4"/>
    <w:rsid w:val="00B10314"/>
    <w:rsid w:val="00BE03D1"/>
    <w:rsid w:val="00C054E8"/>
    <w:rsid w:val="00C32CFC"/>
    <w:rsid w:val="00C56481"/>
    <w:rsid w:val="00CC4777"/>
    <w:rsid w:val="00DA5917"/>
    <w:rsid w:val="00F8778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A3702"/>
  <w15:docId w15:val="{1F984F09-1906-4F0F-8E9F-4324BB09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59F"/>
    <w:pPr>
      <w:widowControl w:val="0"/>
      <w:suppressAutoHyphens/>
      <w:spacing w:after="0" w:line="240" w:lineRule="auto"/>
    </w:pPr>
    <w:rPr>
      <w:rFonts w:ascii="Courier" w:eastAsia="Times New Roman" w:hAnsi="Courier" w:cs="Courier"/>
      <w:sz w:val="24"/>
      <w:szCs w:val="20"/>
      <w:lang w:val="en-U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659F"/>
    <w:rPr>
      <w:rFonts w:ascii="Tahoma" w:hAnsi="Tahoma" w:cs="Tahoma"/>
      <w:sz w:val="16"/>
      <w:szCs w:val="16"/>
    </w:rPr>
  </w:style>
  <w:style w:type="character" w:customStyle="1" w:styleId="TextodegloboCar">
    <w:name w:val="Texto de globo Car"/>
    <w:basedOn w:val="Fuentedeprrafopredeter"/>
    <w:link w:val="Textodeglobo"/>
    <w:uiPriority w:val="99"/>
    <w:semiHidden/>
    <w:rsid w:val="0011659F"/>
    <w:rPr>
      <w:rFonts w:ascii="Tahoma" w:eastAsia="Times New Roman" w:hAnsi="Tahoma" w:cs="Tahoma"/>
      <w:sz w:val="16"/>
      <w:szCs w:val="16"/>
      <w:lang w:val="en-US" w:eastAsia="ar-SA"/>
    </w:rPr>
  </w:style>
  <w:style w:type="paragraph" w:styleId="Prrafodelista">
    <w:name w:val="List Paragraph"/>
    <w:basedOn w:val="Normal"/>
    <w:uiPriority w:val="34"/>
    <w:qFormat/>
    <w:rsid w:val="0011659F"/>
    <w:pPr>
      <w:ind w:left="720"/>
      <w:contextualSpacing/>
    </w:pPr>
  </w:style>
  <w:style w:type="paragraph" w:customStyle="1" w:styleId="Default">
    <w:name w:val="Default"/>
    <w:rsid w:val="006C536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536</Words>
  <Characters>3058</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Díaz Bustamante Vanessa Soledad</cp:lastModifiedBy>
  <cp:revision>2</cp:revision>
  <cp:lastPrinted>2019-05-17T20:39:00Z</cp:lastPrinted>
  <dcterms:created xsi:type="dcterms:W3CDTF">2020-09-15T13:16:00Z</dcterms:created>
  <dcterms:modified xsi:type="dcterms:W3CDTF">2020-09-15T13:16:00Z</dcterms:modified>
</cp:coreProperties>
</file>