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38E" w:rsidRDefault="002C638E" w:rsidP="002C638E">
      <w:pPr>
        <w:widowControl w:val="0"/>
        <w:suppressAutoHyphens/>
        <w:spacing w:after="0" w:line="240" w:lineRule="auto"/>
        <w:rPr>
          <w:rFonts w:ascii="Helvetica" w:eastAsia="Times New Roman" w:hAnsi="Helvetica" w:cs="Helvetica"/>
          <w:sz w:val="24"/>
          <w:szCs w:val="24"/>
          <w:lang w:eastAsia="ar-SA"/>
        </w:rPr>
      </w:pPr>
      <w:bookmarkStart w:id="0" w:name="_GoBack"/>
      <w:bookmarkEnd w:id="0"/>
      <w:r w:rsidRPr="002C638E">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2C638E" w:rsidRDefault="002C638E" w:rsidP="002C638E">
      <w:pPr>
        <w:widowControl w:val="0"/>
        <w:suppressAutoHyphens/>
        <w:spacing w:after="0" w:line="240" w:lineRule="auto"/>
        <w:jc w:val="center"/>
        <w:rPr>
          <w:rFonts w:ascii="Helvetica" w:eastAsia="Times New Roman" w:hAnsi="Helvetica" w:cs="Helvetica"/>
          <w:sz w:val="24"/>
          <w:szCs w:val="24"/>
          <w:lang w:eastAsia="ar-SA"/>
        </w:rPr>
      </w:pPr>
    </w:p>
    <w:p w:rsidR="002C638E" w:rsidRDefault="002C638E" w:rsidP="002C638E">
      <w:pPr>
        <w:widowControl w:val="0"/>
        <w:suppressAutoHyphens/>
        <w:spacing w:after="0" w:line="240" w:lineRule="auto"/>
        <w:jc w:val="center"/>
        <w:rPr>
          <w:rFonts w:ascii="Helvetica" w:eastAsia="Times New Roman" w:hAnsi="Helvetica" w:cs="Helvetica"/>
          <w:sz w:val="24"/>
          <w:szCs w:val="24"/>
          <w:lang w:eastAsia="ar-SA"/>
        </w:rPr>
        <w:sectPr w:rsidR="002C638E" w:rsidSect="005962CD">
          <w:pgSz w:w="12240" w:h="15840"/>
          <w:pgMar w:top="1417" w:right="1701" w:bottom="1417" w:left="1701" w:header="708" w:footer="708" w:gutter="0"/>
          <w:cols w:space="708"/>
          <w:docGrid w:linePitch="360"/>
        </w:sectPr>
      </w:pPr>
    </w:p>
    <w:p w:rsidR="002C638E" w:rsidRDefault="002C638E" w:rsidP="002C638E">
      <w:pPr>
        <w:widowControl w:val="0"/>
        <w:suppressAutoHyphens/>
        <w:spacing w:after="0" w:line="240" w:lineRule="auto"/>
        <w:jc w:val="both"/>
        <w:rPr>
          <w:rFonts w:ascii="Helvetica" w:eastAsia="Times New Roman" w:hAnsi="Helvetica" w:cs="Helvetica"/>
          <w:sz w:val="24"/>
          <w:szCs w:val="24"/>
          <w:lang w:eastAsia="ar-SA"/>
        </w:rPr>
      </w:pPr>
    </w:p>
    <w:p w:rsidR="002C638E" w:rsidRDefault="002C638E" w:rsidP="002C638E">
      <w:pPr>
        <w:widowControl w:val="0"/>
        <w:suppressAutoHyphens/>
        <w:spacing w:after="0" w:line="240" w:lineRule="auto"/>
        <w:jc w:val="both"/>
        <w:rPr>
          <w:rFonts w:ascii="Helvetica" w:eastAsia="Times New Roman" w:hAnsi="Helvetica" w:cs="Helvetica"/>
          <w:sz w:val="24"/>
          <w:szCs w:val="24"/>
          <w:lang w:eastAsia="ar-SA"/>
        </w:rPr>
        <w:sectPr w:rsidR="002C638E" w:rsidSect="002C638E">
          <w:type w:val="continuous"/>
          <w:pgSz w:w="12240" w:h="15840"/>
          <w:pgMar w:top="1417" w:right="1701" w:bottom="1417" w:left="1701" w:header="708" w:footer="708" w:gutter="0"/>
          <w:cols w:num="2" w:space="708"/>
          <w:docGrid w:linePitch="360"/>
        </w:sectPr>
      </w:pPr>
    </w:p>
    <w:p w:rsidR="002C638E" w:rsidRPr="001B7FD6" w:rsidRDefault="002C638E" w:rsidP="002C638E">
      <w:pPr>
        <w:widowControl w:val="0"/>
        <w:suppressAutoHyphens/>
        <w:spacing w:after="0" w:line="240" w:lineRule="auto"/>
        <w:jc w:val="center"/>
        <w:rPr>
          <w:rFonts w:ascii="Arial Narrow" w:eastAsia="Times New Roman" w:hAnsi="Arial Narrow" w:cs="Helvetica"/>
          <w:b/>
          <w:sz w:val="28"/>
          <w:szCs w:val="28"/>
          <w:u w:val="single"/>
          <w:lang w:eastAsia="ar-SA"/>
        </w:rPr>
      </w:pPr>
      <w:r w:rsidRPr="001B7FD6">
        <w:rPr>
          <w:rFonts w:ascii="Arial Narrow" w:eastAsia="Times New Roman" w:hAnsi="Arial Narrow" w:cs="Helvetica"/>
          <w:b/>
          <w:sz w:val="28"/>
          <w:szCs w:val="28"/>
          <w:u w:val="single"/>
          <w:lang w:eastAsia="ar-SA"/>
        </w:rPr>
        <w:t>ANALISIS RAZONADO</w:t>
      </w:r>
    </w:p>
    <w:p w:rsidR="002C638E" w:rsidRPr="001B7FD6" w:rsidRDefault="002C638E" w:rsidP="002C638E">
      <w:pPr>
        <w:widowControl w:val="0"/>
        <w:suppressAutoHyphens/>
        <w:spacing w:after="0" w:line="240" w:lineRule="auto"/>
        <w:jc w:val="both"/>
        <w:rPr>
          <w:rFonts w:ascii="Arial Narrow" w:eastAsia="Times New Roman" w:hAnsi="Arial Narrow" w:cs="Helvetica"/>
          <w:sz w:val="28"/>
          <w:szCs w:val="28"/>
          <w:lang w:eastAsia="ar-SA"/>
        </w:rPr>
      </w:pPr>
    </w:p>
    <w:p w:rsidR="002C638E" w:rsidRPr="001B7FD6" w:rsidRDefault="002C638E" w:rsidP="002C638E">
      <w:pPr>
        <w:widowControl w:val="0"/>
        <w:suppressAutoHyphens/>
        <w:spacing w:after="0" w:line="240" w:lineRule="auto"/>
        <w:jc w:val="both"/>
        <w:rPr>
          <w:rFonts w:ascii="Arial Narrow" w:eastAsia="Times New Roman" w:hAnsi="Arial Narrow" w:cs="Helvetica"/>
          <w:sz w:val="28"/>
          <w:szCs w:val="28"/>
          <w:lang w:eastAsia="ar-SA"/>
        </w:rPr>
      </w:pPr>
    </w:p>
    <w:p w:rsidR="002C638E" w:rsidRPr="001B7FD6" w:rsidRDefault="002C638E" w:rsidP="002C638E">
      <w:pPr>
        <w:widowControl w:val="0"/>
        <w:suppressAutoHyphens/>
        <w:spacing w:after="0" w:line="240" w:lineRule="auto"/>
        <w:jc w:val="both"/>
        <w:rPr>
          <w:rFonts w:ascii="Arial Narrow" w:eastAsia="Times New Roman" w:hAnsi="Arial Narrow" w:cs="Helvetica"/>
          <w:sz w:val="28"/>
          <w:szCs w:val="28"/>
          <w:lang w:eastAsia="ar-SA"/>
        </w:rPr>
      </w:pPr>
      <w:r w:rsidRPr="001B7FD6">
        <w:rPr>
          <w:rFonts w:ascii="Arial Narrow" w:eastAsia="Times New Roman" w:hAnsi="Arial Narrow" w:cs="Helvetica"/>
          <w:sz w:val="28"/>
          <w:szCs w:val="28"/>
          <w:lang w:eastAsia="ar-SA"/>
        </w:rPr>
        <w:t>Este documento ha sido preparado por RDT S.A. con el propósito de</w:t>
      </w:r>
      <w:r w:rsidRPr="001B7FD6">
        <w:rPr>
          <w:rFonts w:ascii="Arial Narrow" w:hAnsi="Arial Narrow" w:cs="MyriadPro-Regular"/>
          <w:color w:val="FEFEFD"/>
          <w:sz w:val="28"/>
          <w:szCs w:val="28"/>
        </w:rPr>
        <w:t xml:space="preserve"> </w:t>
      </w:r>
      <w:r w:rsidRPr="001B7FD6">
        <w:rPr>
          <w:rFonts w:ascii="Arial Narrow" w:eastAsia="Times New Roman" w:hAnsi="Arial Narrow" w:cs="Helvetica"/>
          <w:sz w:val="28"/>
          <w:szCs w:val="28"/>
          <w:lang w:eastAsia="ar-SA"/>
        </w:rPr>
        <w:t xml:space="preserve">entregar información general de la compañía. </w:t>
      </w:r>
    </w:p>
    <w:p w:rsidR="002C638E" w:rsidRPr="001B7FD6" w:rsidRDefault="002C638E" w:rsidP="002C638E">
      <w:pPr>
        <w:widowControl w:val="0"/>
        <w:suppressAutoHyphens/>
        <w:spacing w:after="0" w:line="240" w:lineRule="auto"/>
        <w:jc w:val="both"/>
        <w:rPr>
          <w:rFonts w:ascii="Arial Narrow" w:eastAsia="Times New Roman" w:hAnsi="Arial Narrow" w:cs="Helvetica"/>
          <w:sz w:val="28"/>
          <w:szCs w:val="28"/>
          <w:lang w:eastAsia="ar-SA"/>
        </w:rPr>
      </w:pPr>
    </w:p>
    <w:p w:rsidR="005C6005" w:rsidRPr="001B7FD6" w:rsidRDefault="005C6005" w:rsidP="002C638E">
      <w:pPr>
        <w:widowControl w:val="0"/>
        <w:suppressAutoHyphens/>
        <w:spacing w:after="0" w:line="240" w:lineRule="auto"/>
        <w:jc w:val="both"/>
        <w:rPr>
          <w:rFonts w:ascii="Arial Narrow" w:eastAsia="Times New Roman" w:hAnsi="Arial Narrow" w:cs="Helvetica"/>
          <w:sz w:val="28"/>
          <w:szCs w:val="28"/>
          <w:lang w:eastAsia="ar-SA"/>
        </w:rPr>
      </w:pPr>
      <w:r w:rsidRPr="001B7FD6">
        <w:rPr>
          <w:rFonts w:ascii="Arial Narrow" w:eastAsia="Times New Roman" w:hAnsi="Arial Narrow" w:cs="Helvetica"/>
          <w:sz w:val="28"/>
          <w:szCs w:val="28"/>
          <w:lang w:eastAsia="ar-SA"/>
        </w:rPr>
        <w:t>El Análisis Razonado es un informe complementario a los estados financieros y notas, en consideración a ello debe ser leído en conjunto con los Estados F</w:t>
      </w:r>
      <w:r w:rsidR="001B7FD6" w:rsidRPr="001B7FD6">
        <w:rPr>
          <w:rFonts w:ascii="Arial Narrow" w:eastAsia="Times New Roman" w:hAnsi="Arial Narrow" w:cs="Helvetica"/>
          <w:sz w:val="28"/>
          <w:szCs w:val="28"/>
          <w:lang w:eastAsia="ar-SA"/>
        </w:rPr>
        <w:t>inancieros</w:t>
      </w:r>
      <w:r w:rsidRPr="001B7FD6">
        <w:rPr>
          <w:rFonts w:ascii="Arial Narrow" w:eastAsia="Times New Roman" w:hAnsi="Arial Narrow" w:cs="Helvetica"/>
          <w:sz w:val="28"/>
          <w:szCs w:val="28"/>
          <w:lang w:eastAsia="ar-SA"/>
        </w:rPr>
        <w:t>.</w:t>
      </w:r>
    </w:p>
    <w:p w:rsidR="002C638E" w:rsidRPr="001B7FD6" w:rsidRDefault="002C638E" w:rsidP="002C638E">
      <w:pPr>
        <w:widowControl w:val="0"/>
        <w:suppressAutoHyphens/>
        <w:spacing w:after="0" w:line="240" w:lineRule="auto"/>
        <w:jc w:val="both"/>
        <w:rPr>
          <w:rFonts w:ascii="Arial Narrow" w:eastAsia="Times New Roman" w:hAnsi="Arial Narrow" w:cs="Helvetica"/>
          <w:sz w:val="28"/>
          <w:szCs w:val="28"/>
          <w:lang w:eastAsia="ar-SA"/>
        </w:rPr>
      </w:pPr>
    </w:p>
    <w:p w:rsidR="002C638E" w:rsidRPr="001B7FD6" w:rsidRDefault="002C638E">
      <w:pPr>
        <w:rPr>
          <w:rFonts w:ascii="Arial Narrow" w:eastAsia="Times New Roman" w:hAnsi="Arial Narrow" w:cs="Helvetica"/>
          <w:sz w:val="28"/>
          <w:szCs w:val="28"/>
          <w:lang w:eastAsia="ar-SA"/>
        </w:rPr>
      </w:pPr>
      <w:r w:rsidRPr="001B7FD6">
        <w:rPr>
          <w:rFonts w:ascii="Arial Narrow" w:eastAsia="Times New Roman" w:hAnsi="Arial Narrow" w:cs="Helvetica"/>
          <w:sz w:val="28"/>
          <w:szCs w:val="28"/>
          <w:lang w:eastAsia="ar-SA"/>
        </w:rPr>
        <w:br w:type="page"/>
      </w:r>
    </w:p>
    <w:p w:rsidR="00312A97" w:rsidRDefault="00312A97" w:rsidP="00312A97">
      <w:pPr>
        <w:widowControl w:val="0"/>
        <w:suppressAutoHyphens/>
        <w:spacing w:after="0" w:line="240" w:lineRule="auto"/>
        <w:jc w:val="center"/>
        <w:rPr>
          <w:rFonts w:ascii="Helvetica" w:eastAsia="Times New Roman" w:hAnsi="Helvetica" w:cs="Helvetica"/>
          <w:sz w:val="24"/>
          <w:szCs w:val="24"/>
          <w:lang w:eastAsia="ar-SA"/>
        </w:rPr>
      </w:pPr>
    </w:p>
    <w:p w:rsidR="00312A97" w:rsidRDefault="00312A97" w:rsidP="00312A97">
      <w:pPr>
        <w:widowControl w:val="0"/>
        <w:suppressAutoHyphens/>
        <w:spacing w:after="0" w:line="240" w:lineRule="auto"/>
        <w:jc w:val="center"/>
        <w:rPr>
          <w:rFonts w:ascii="Helvetica" w:eastAsia="Times New Roman" w:hAnsi="Helvetica" w:cs="Helvetica"/>
          <w:sz w:val="24"/>
          <w:szCs w:val="24"/>
          <w:lang w:eastAsia="ar-SA"/>
        </w:rPr>
      </w:pPr>
    </w:p>
    <w:p w:rsidR="00312A97" w:rsidRPr="001B7FD6" w:rsidRDefault="003E7C92" w:rsidP="009A524B">
      <w:pPr>
        <w:pStyle w:val="Default"/>
        <w:numPr>
          <w:ilvl w:val="0"/>
          <w:numId w:val="1"/>
        </w:numPr>
        <w:ind w:left="284" w:hanging="284"/>
        <w:rPr>
          <w:rFonts w:ascii="Arial Narrow" w:hAnsi="Arial Narrow" w:cs="Helvetica"/>
          <w:b/>
          <w:bCs/>
        </w:rPr>
      </w:pPr>
      <w:r w:rsidRPr="001B7FD6">
        <w:rPr>
          <w:rFonts w:ascii="Arial Narrow" w:hAnsi="Arial Narrow" w:cs="Helvetica"/>
          <w:b/>
          <w:bCs/>
        </w:rPr>
        <w:t>Análisis del estado de situación financiera</w:t>
      </w:r>
    </w:p>
    <w:p w:rsidR="003E7C92" w:rsidRPr="001B7FD6" w:rsidRDefault="003E7C92" w:rsidP="003E7C92">
      <w:pPr>
        <w:spacing w:after="0"/>
        <w:rPr>
          <w:rFonts w:ascii="Arial Narrow" w:hAnsi="Arial Narrow" w:cs="Helvetica"/>
          <w:color w:val="000000"/>
          <w:sz w:val="24"/>
          <w:szCs w:val="24"/>
        </w:rPr>
      </w:pPr>
    </w:p>
    <w:p w:rsidR="003E7C92" w:rsidRPr="001B7FD6" w:rsidRDefault="00AF6812" w:rsidP="003E7C92">
      <w:pPr>
        <w:jc w:val="both"/>
        <w:rPr>
          <w:rFonts w:ascii="Arial Narrow" w:hAnsi="Arial Narrow" w:cs="Helvetica"/>
          <w:color w:val="000000"/>
          <w:sz w:val="24"/>
          <w:szCs w:val="24"/>
        </w:rPr>
      </w:pPr>
      <w:r w:rsidRPr="001B7FD6">
        <w:rPr>
          <w:rFonts w:ascii="Arial Narrow" w:hAnsi="Arial Narrow" w:cs="Helvetica"/>
          <w:color w:val="000000"/>
          <w:sz w:val="24"/>
          <w:szCs w:val="24"/>
        </w:rPr>
        <w:t xml:space="preserve">Los principales componentes de los activos, pasivos y patrimonio al 31 de </w:t>
      </w:r>
      <w:r w:rsidR="00AE156A">
        <w:rPr>
          <w:rFonts w:ascii="Arial Narrow" w:hAnsi="Arial Narrow" w:cs="Helvetica"/>
          <w:color w:val="000000"/>
          <w:sz w:val="24"/>
          <w:szCs w:val="24"/>
        </w:rPr>
        <w:t>marzo</w:t>
      </w:r>
      <w:r w:rsidRPr="001B7FD6">
        <w:rPr>
          <w:rFonts w:ascii="Arial Narrow" w:hAnsi="Arial Narrow" w:cs="Helvetica"/>
          <w:color w:val="000000"/>
          <w:sz w:val="24"/>
          <w:szCs w:val="24"/>
        </w:rPr>
        <w:t xml:space="preserve"> de </w:t>
      </w:r>
      <w:r w:rsidR="001E708B" w:rsidRPr="001B7FD6">
        <w:rPr>
          <w:rFonts w:ascii="Arial Narrow" w:hAnsi="Arial Narrow" w:cs="Helvetica"/>
          <w:color w:val="000000"/>
          <w:sz w:val="24"/>
          <w:szCs w:val="24"/>
        </w:rPr>
        <w:t>20</w:t>
      </w:r>
      <w:r w:rsidR="00AE156A">
        <w:rPr>
          <w:rFonts w:ascii="Arial Narrow" w:hAnsi="Arial Narrow" w:cs="Helvetica"/>
          <w:color w:val="000000"/>
          <w:sz w:val="24"/>
          <w:szCs w:val="24"/>
        </w:rPr>
        <w:t>20</w:t>
      </w:r>
      <w:r w:rsidRPr="001B7FD6">
        <w:rPr>
          <w:rFonts w:ascii="Arial Narrow" w:hAnsi="Arial Narrow" w:cs="Helvetica"/>
          <w:color w:val="000000"/>
          <w:sz w:val="24"/>
          <w:szCs w:val="24"/>
        </w:rPr>
        <w:t xml:space="preserve"> y </w:t>
      </w:r>
      <w:r w:rsidR="00AE156A">
        <w:rPr>
          <w:rFonts w:ascii="Arial Narrow" w:hAnsi="Arial Narrow" w:cs="Helvetica"/>
          <w:color w:val="000000"/>
          <w:sz w:val="24"/>
          <w:szCs w:val="24"/>
        </w:rPr>
        <w:t>31 de diciembre 2019 so</w:t>
      </w:r>
      <w:r w:rsidRPr="001B7FD6">
        <w:rPr>
          <w:rFonts w:ascii="Arial Narrow" w:hAnsi="Arial Narrow" w:cs="Helvetica"/>
          <w:color w:val="000000"/>
          <w:sz w:val="24"/>
          <w:szCs w:val="24"/>
        </w:rPr>
        <w:t xml:space="preserve">n los siguientes: </w:t>
      </w:r>
    </w:p>
    <w:bookmarkStart w:id="1" w:name="_MON_1490447842"/>
    <w:bookmarkStart w:id="2" w:name="_MON_1490447854"/>
    <w:bookmarkStart w:id="3" w:name="_MON_1490448043"/>
    <w:bookmarkStart w:id="4" w:name="_MON_1490448070"/>
    <w:bookmarkStart w:id="5" w:name="_MON_1490448128"/>
    <w:bookmarkStart w:id="6" w:name="_MON_1490448221"/>
    <w:bookmarkStart w:id="7" w:name="_MON_1490448230"/>
    <w:bookmarkStart w:id="8" w:name="_MON_1490448358"/>
    <w:bookmarkStart w:id="9" w:name="_MON_1490448369"/>
    <w:bookmarkStart w:id="10" w:name="_MON_1490620531"/>
    <w:bookmarkStart w:id="11" w:name="_MON_1490620563"/>
    <w:bookmarkStart w:id="12" w:name="_MON_1490620579"/>
    <w:bookmarkStart w:id="13" w:name="_MON_1490620633"/>
    <w:bookmarkStart w:id="14" w:name="_MON_1490620893"/>
    <w:bookmarkStart w:id="15" w:name="_MON_1490621651"/>
    <w:bookmarkStart w:id="16" w:name="_MON_1490621707"/>
    <w:bookmarkStart w:id="17" w:name="_MON_1490621866"/>
    <w:bookmarkStart w:id="18" w:name="_MON_1490621891"/>
    <w:bookmarkStart w:id="19" w:name="_MON_1490629936"/>
    <w:bookmarkStart w:id="20" w:name="_MON_1490629946"/>
    <w:bookmarkStart w:id="21" w:name="_MON_1490629959"/>
    <w:bookmarkStart w:id="22" w:name="_MON_1490629972"/>
    <w:bookmarkStart w:id="23" w:name="_MON_1490630738"/>
    <w:bookmarkStart w:id="24" w:name="_MON_1490630756"/>
    <w:bookmarkStart w:id="25" w:name="_MON_1490630765"/>
    <w:bookmarkStart w:id="26" w:name="_MON_1490630777"/>
    <w:bookmarkStart w:id="27" w:name="_MON_1490630841"/>
    <w:bookmarkStart w:id="28" w:name="_MON_1490630851"/>
    <w:bookmarkStart w:id="29" w:name="_MON_1490630865"/>
    <w:bookmarkStart w:id="30" w:name="_MON_1490631179"/>
    <w:bookmarkStart w:id="31" w:name="_MON_1490631195"/>
    <w:bookmarkStart w:id="32" w:name="_MON_1490631205"/>
    <w:bookmarkStart w:id="33" w:name="_MON_1490631216"/>
    <w:bookmarkStart w:id="34" w:name="_MON_1490631621"/>
    <w:bookmarkStart w:id="35" w:name="_MON_1490631638"/>
    <w:bookmarkStart w:id="36" w:name="_MON_1490632505"/>
    <w:bookmarkStart w:id="37" w:name="_MON_1520837458"/>
    <w:bookmarkStart w:id="38" w:name="_MON_1520837827"/>
    <w:bookmarkStart w:id="39" w:name="_MON_1520844787"/>
    <w:bookmarkStart w:id="40" w:name="_MON_1520844905"/>
    <w:bookmarkStart w:id="41" w:name="_MON_1521281736"/>
    <w:bookmarkStart w:id="42" w:name="_MON_1521300188"/>
    <w:bookmarkStart w:id="43" w:name="_MON_1521300220"/>
    <w:bookmarkStart w:id="44" w:name="_MON_1521300380"/>
    <w:bookmarkStart w:id="45" w:name="_MON_1521968675"/>
    <w:bookmarkStart w:id="46" w:name="_MON_1521968693"/>
    <w:bookmarkStart w:id="47" w:name="_MON_1521968765"/>
    <w:bookmarkStart w:id="48" w:name="_MON_1464617178"/>
    <w:bookmarkStart w:id="49" w:name="_MON_1490367577"/>
    <w:bookmarkStart w:id="50" w:name="_MON_1490367624"/>
    <w:bookmarkStart w:id="51" w:name="_MON_1490367669"/>
    <w:bookmarkStart w:id="52" w:name="_MON_1490422041"/>
    <w:bookmarkStart w:id="53" w:name="_MON_1490422175"/>
    <w:bookmarkStart w:id="54" w:name="_MON_1490422430"/>
    <w:bookmarkStart w:id="55" w:name="_MON_1490446936"/>
    <w:bookmarkStart w:id="56" w:name="_MON_1490447005"/>
    <w:bookmarkStart w:id="57" w:name="_MON_1490447252"/>
    <w:bookmarkStart w:id="58" w:name="_MON_1490447334"/>
    <w:bookmarkStart w:id="59" w:name="_MON_1490447349"/>
    <w:bookmarkStart w:id="60" w:name="_MON_1490447908"/>
    <w:bookmarkStart w:id="61" w:name="_MON_1490447493"/>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Start w:id="62" w:name="_MON_1490447506"/>
    <w:bookmarkEnd w:id="62"/>
    <w:p w:rsidR="003E7C92" w:rsidRDefault="00AE156A">
      <w:pPr>
        <w:rPr>
          <w:rFonts w:ascii="Helvetica" w:hAnsi="Helvetica" w:cs="Helvetica"/>
          <w:szCs w:val="24"/>
        </w:rPr>
      </w:pPr>
      <w:r w:rsidRPr="00BF6CE8">
        <w:rPr>
          <w:rFonts w:ascii="Helvetica" w:hAnsi="Helvetica" w:cs="Helvetica"/>
          <w:szCs w:val="24"/>
        </w:rPr>
        <w:object w:dxaOrig="8132" w:dyaOrig="38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25pt;height:215.25pt" o:ole="">
            <v:imagedata r:id="rId6" o:title=""/>
          </v:shape>
          <o:OLEObject Type="Embed" ProgID="Excel.Sheet.8" ShapeID="_x0000_i1025" DrawAspect="Content" ObjectID="_1652786828" r:id="rId7"/>
        </w:object>
      </w:r>
    </w:p>
    <w:p w:rsidR="00C11868" w:rsidRPr="001B7FD6" w:rsidRDefault="00C11868" w:rsidP="00C11868">
      <w:pPr>
        <w:jc w:val="both"/>
        <w:rPr>
          <w:rFonts w:ascii="Arial Narrow" w:hAnsi="Arial Narrow" w:cs="Helvetica"/>
          <w:b/>
          <w:i/>
          <w:color w:val="000000"/>
          <w:u w:val="single"/>
        </w:rPr>
      </w:pPr>
      <w:r w:rsidRPr="001B7FD6">
        <w:rPr>
          <w:rFonts w:ascii="Arial Narrow" w:hAnsi="Arial Narrow" w:cs="Helvetica"/>
          <w:b/>
          <w:i/>
          <w:color w:val="000000"/>
          <w:u w:val="single"/>
        </w:rPr>
        <w:t>Indicadores</w:t>
      </w:r>
    </w:p>
    <w:bookmarkStart w:id="63" w:name="_MON_1525180808"/>
    <w:bookmarkEnd w:id="63"/>
    <w:p w:rsidR="00025E97" w:rsidRDefault="00CB084F" w:rsidP="00020682">
      <w:pPr>
        <w:rPr>
          <w:rFonts w:ascii="Helvetica" w:hAnsi="Helvetica" w:cs="Helvetica"/>
          <w:szCs w:val="24"/>
        </w:rPr>
      </w:pPr>
      <w:r w:rsidRPr="00BF6CE8">
        <w:rPr>
          <w:rFonts w:ascii="Helvetica" w:hAnsi="Helvetica" w:cs="Helvetica"/>
          <w:szCs w:val="24"/>
        </w:rPr>
        <w:object w:dxaOrig="9282" w:dyaOrig="4789">
          <v:shape id="_x0000_i1026" type="#_x0000_t75" style="width:452.25pt;height:201.75pt" o:ole="">
            <v:imagedata r:id="rId8" o:title=""/>
          </v:shape>
          <o:OLEObject Type="Embed" ProgID="Excel.Sheet.8" ShapeID="_x0000_i1026" DrawAspect="Content" ObjectID="_1652786829" r:id="rId9"/>
        </w:object>
      </w:r>
    </w:p>
    <w:p w:rsidR="00BE4365" w:rsidRDefault="00BE4365" w:rsidP="00025E97">
      <w:pPr>
        <w:tabs>
          <w:tab w:val="left" w:pos="465"/>
        </w:tabs>
        <w:rPr>
          <w:rFonts w:ascii="Helvetica" w:eastAsia="Times New Roman" w:hAnsi="Helvetica" w:cs="Helvetica"/>
          <w:sz w:val="24"/>
          <w:szCs w:val="24"/>
          <w:lang w:eastAsia="ar-SA"/>
        </w:rPr>
      </w:pPr>
    </w:p>
    <w:p w:rsidR="00BE4365" w:rsidRDefault="00BE4365" w:rsidP="009A524B">
      <w:pPr>
        <w:jc w:val="center"/>
        <w:rPr>
          <w:rFonts w:ascii="Helvetica" w:eastAsia="Times New Roman" w:hAnsi="Helvetica" w:cs="Helvetica"/>
          <w:sz w:val="24"/>
          <w:szCs w:val="24"/>
          <w:lang w:eastAsia="ar-SA"/>
        </w:rPr>
      </w:pPr>
    </w:p>
    <w:p w:rsidR="00312A97" w:rsidRDefault="00312A97" w:rsidP="009A524B">
      <w:pPr>
        <w:jc w:val="center"/>
        <w:rPr>
          <w:rFonts w:ascii="Helvetica" w:eastAsia="Times New Roman" w:hAnsi="Helvetica" w:cs="Helvetica"/>
          <w:sz w:val="24"/>
          <w:szCs w:val="24"/>
          <w:lang w:eastAsia="ar-SA"/>
        </w:rPr>
      </w:pPr>
    </w:p>
    <w:p w:rsidR="001B7FD6" w:rsidRPr="001B7FD6" w:rsidRDefault="001B7FD6" w:rsidP="001B7FD6">
      <w:pPr>
        <w:jc w:val="both"/>
        <w:rPr>
          <w:rFonts w:ascii="Arial Narrow" w:hAnsi="Arial Narrow" w:cs="Helvetica"/>
          <w:szCs w:val="24"/>
        </w:rPr>
      </w:pPr>
      <w:r w:rsidRPr="001B7FD6">
        <w:rPr>
          <w:rFonts w:ascii="Arial Narrow" w:hAnsi="Arial Narrow" w:cs="Helvetica"/>
          <w:szCs w:val="24"/>
        </w:rPr>
        <w:t xml:space="preserve">Del análisis del estados de situación financiera se observa un pronunciamiento de la condición de déficit patrimonial de la compañía, donde el patrimonio negativo </w:t>
      </w:r>
      <w:r w:rsidR="007552F6">
        <w:rPr>
          <w:rFonts w:ascii="Arial Narrow" w:hAnsi="Arial Narrow" w:cs="Helvetica"/>
          <w:szCs w:val="24"/>
        </w:rPr>
        <w:t>es mayor que el total de</w:t>
      </w:r>
      <w:r w:rsidR="00CF081B">
        <w:rPr>
          <w:rFonts w:ascii="Arial Narrow" w:hAnsi="Arial Narrow" w:cs="Helvetica"/>
          <w:szCs w:val="24"/>
        </w:rPr>
        <w:t xml:space="preserve"> los activos ( esto es un 1</w:t>
      </w:r>
      <w:r w:rsidR="00AE156A">
        <w:rPr>
          <w:rFonts w:ascii="Arial Narrow" w:hAnsi="Arial Narrow" w:cs="Helvetica"/>
          <w:szCs w:val="24"/>
        </w:rPr>
        <w:t>84</w:t>
      </w:r>
      <w:r w:rsidR="00CF081B">
        <w:rPr>
          <w:rFonts w:ascii="Arial Narrow" w:hAnsi="Arial Narrow" w:cs="Helvetica"/>
          <w:szCs w:val="24"/>
        </w:rPr>
        <w:t>%</w:t>
      </w:r>
      <w:r w:rsidR="007552F6">
        <w:rPr>
          <w:rFonts w:ascii="Arial Narrow" w:hAnsi="Arial Narrow" w:cs="Helvetica"/>
          <w:szCs w:val="24"/>
        </w:rPr>
        <w:t>)</w:t>
      </w:r>
      <w:r>
        <w:rPr>
          <w:rFonts w:ascii="Arial Narrow" w:hAnsi="Arial Narrow" w:cs="Helvetica"/>
          <w:szCs w:val="24"/>
        </w:rPr>
        <w:t>, siendo al 31 de diciembre de 201</w:t>
      </w:r>
      <w:r w:rsidR="00AE156A">
        <w:rPr>
          <w:rFonts w:ascii="Arial Narrow" w:hAnsi="Arial Narrow" w:cs="Helvetica"/>
          <w:szCs w:val="24"/>
        </w:rPr>
        <w:t>9</w:t>
      </w:r>
      <w:r>
        <w:rPr>
          <w:rFonts w:ascii="Arial Narrow" w:hAnsi="Arial Narrow" w:cs="Helvetica"/>
          <w:szCs w:val="24"/>
        </w:rPr>
        <w:t xml:space="preserve"> un </w:t>
      </w:r>
      <w:r w:rsidR="00C42BF3">
        <w:rPr>
          <w:rFonts w:ascii="Arial Narrow" w:hAnsi="Arial Narrow" w:cs="Helvetica"/>
          <w:szCs w:val="24"/>
        </w:rPr>
        <w:t>1</w:t>
      </w:r>
      <w:r w:rsidR="00AE156A">
        <w:rPr>
          <w:rFonts w:ascii="Arial Narrow" w:hAnsi="Arial Narrow" w:cs="Helvetica"/>
          <w:szCs w:val="24"/>
        </w:rPr>
        <w:t>97</w:t>
      </w:r>
      <w:r w:rsidRPr="001B7FD6">
        <w:rPr>
          <w:rFonts w:ascii="Arial Narrow" w:hAnsi="Arial Narrow" w:cs="Helvetica"/>
          <w:szCs w:val="24"/>
        </w:rPr>
        <w:t>%, si bien esta es una condición que podría colocar a la empresa en cuestionamiento respecto de su capacidad de empresa en marcha, su principal acreedor es una empresa relacionada del mismo holding de Empresas Radio Bio Bio, por lo cual es un escenario que no está previsto que ocurra.</w:t>
      </w:r>
    </w:p>
    <w:p w:rsidR="001B7FD6" w:rsidRPr="001B7FD6" w:rsidRDefault="001B7FD6" w:rsidP="001B7FD6">
      <w:pPr>
        <w:jc w:val="both"/>
        <w:rPr>
          <w:rFonts w:ascii="Arial Narrow" w:hAnsi="Arial Narrow" w:cs="Helvetica"/>
          <w:szCs w:val="24"/>
        </w:rPr>
      </w:pPr>
      <w:r w:rsidRPr="001B7FD6">
        <w:rPr>
          <w:rFonts w:ascii="Arial Narrow" w:hAnsi="Arial Narrow" w:cs="Helvetica"/>
          <w:szCs w:val="24"/>
        </w:rPr>
        <w:lastRenderedPageBreak/>
        <w:t>Los principales activos de la sociedad son las cuentas comerciales por cobrar y activos fijos, situaciones consistentes con la actividad de la compañía, ya que primeramente los servicios son prestados para posteriormente ser facturados y los inmuebles y equipos de transmisión son necesarios para el desarrollo de la actividad.</w:t>
      </w:r>
    </w:p>
    <w:p w:rsidR="001B7FD6" w:rsidRPr="001B7FD6" w:rsidRDefault="001B7FD6" w:rsidP="001B7FD6">
      <w:pPr>
        <w:jc w:val="both"/>
        <w:rPr>
          <w:rFonts w:ascii="Arial Narrow" w:hAnsi="Arial Narrow" w:cs="Helvetica"/>
          <w:szCs w:val="24"/>
        </w:rPr>
      </w:pPr>
      <w:r w:rsidRPr="001B7FD6">
        <w:rPr>
          <w:rFonts w:ascii="Arial Narrow" w:hAnsi="Arial Narrow" w:cs="Helvetica"/>
          <w:szCs w:val="24"/>
        </w:rPr>
        <w:t>La principal fuente de financiamiento han sido las empresas relacionadas, las que finalmente han cubierto el déficit de la sociedad, situación negativa que ha sido recurrente en la industria televisiva.</w:t>
      </w:r>
    </w:p>
    <w:p w:rsidR="001B7FD6" w:rsidRPr="001B7FD6" w:rsidRDefault="001B7FD6" w:rsidP="001B7FD6">
      <w:pPr>
        <w:jc w:val="both"/>
        <w:rPr>
          <w:rFonts w:ascii="Arial Narrow" w:hAnsi="Arial Narrow" w:cs="Helvetica"/>
          <w:szCs w:val="24"/>
        </w:rPr>
      </w:pPr>
      <w:r w:rsidRPr="001B7FD6">
        <w:rPr>
          <w:rFonts w:ascii="Arial Narrow" w:hAnsi="Arial Narrow" w:cs="Helvetica"/>
          <w:szCs w:val="24"/>
        </w:rPr>
        <w:t xml:space="preserve">El pasivo con la empresa relacionada se ha incorporado en el endeudamiento corriente, debido a que no tiene una fecha de vencimiento pactada, sin </w:t>
      </w:r>
      <w:r w:rsidR="007552F6" w:rsidRPr="001B7FD6">
        <w:rPr>
          <w:rFonts w:ascii="Arial Narrow" w:hAnsi="Arial Narrow" w:cs="Helvetica"/>
          <w:szCs w:val="24"/>
        </w:rPr>
        <w:t>embargo,</w:t>
      </w:r>
      <w:r w:rsidRPr="001B7FD6">
        <w:rPr>
          <w:rFonts w:ascii="Arial Narrow" w:hAnsi="Arial Narrow" w:cs="Helvetica"/>
          <w:szCs w:val="24"/>
        </w:rPr>
        <w:t xml:space="preserve"> considerando el comportamiento histórico debe formar parte del largo plazo.</w:t>
      </w:r>
    </w:p>
    <w:bookmarkStart w:id="64" w:name="_MON_1490450998"/>
    <w:bookmarkStart w:id="65" w:name="_MON_1492247219"/>
    <w:bookmarkStart w:id="66" w:name="_MON_1520838988"/>
    <w:bookmarkStart w:id="67" w:name="_MON_1520839028"/>
    <w:bookmarkStart w:id="68" w:name="_MON_1521282594"/>
    <w:bookmarkStart w:id="69" w:name="_MON_1521282612"/>
    <w:bookmarkStart w:id="70" w:name="_MON_1521282654"/>
    <w:bookmarkStart w:id="71" w:name="_MON_1521969019"/>
    <w:bookmarkStart w:id="72" w:name="_MON_1521969032"/>
    <w:bookmarkStart w:id="73" w:name="_MON_1521969143"/>
    <w:bookmarkStart w:id="74" w:name="_MON_1548235836"/>
    <w:bookmarkStart w:id="75" w:name="_MON_1552805101"/>
    <w:bookmarkStart w:id="76" w:name="_MON_1552805129"/>
    <w:bookmarkStart w:id="77" w:name="_MON_1552805174"/>
    <w:bookmarkStart w:id="78" w:name="_MON_1552805245"/>
    <w:bookmarkStart w:id="79" w:name="_MON_1552805250"/>
    <w:bookmarkStart w:id="80" w:name="_MON_1552805255"/>
    <w:bookmarkStart w:id="81" w:name="_MON_1552805265"/>
    <w:bookmarkStart w:id="82" w:name="_MON_1554299014"/>
    <w:bookmarkStart w:id="83" w:name="_MON_1567863498"/>
    <w:bookmarkStart w:id="84" w:name="_MON_1583226241"/>
    <w:bookmarkStart w:id="85" w:name="_MON_1583226273"/>
    <w:bookmarkStart w:id="86" w:name="_MON_1464619901"/>
    <w:bookmarkStart w:id="87" w:name="_MON_1490370676"/>
    <w:bookmarkStart w:id="88" w:name="_MON_1490370740"/>
    <w:bookmarkStart w:id="89" w:name="_MON_1490443807"/>
    <w:bookmarkStart w:id="90" w:name="_MON_1557152351"/>
    <w:bookmarkStart w:id="91" w:name="_MON_1490443882"/>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Start w:id="92" w:name="_MON_1490446699"/>
    <w:bookmarkEnd w:id="92"/>
    <w:p w:rsidR="001B7FD6" w:rsidRDefault="00AE156A" w:rsidP="001B7FD6">
      <w:pPr>
        <w:pStyle w:val="Default"/>
        <w:rPr>
          <w:rFonts w:ascii="Helvetica" w:hAnsi="Helvetica" w:cs="Helvetica"/>
          <w:b/>
          <w:bCs/>
        </w:rPr>
      </w:pPr>
      <w:r w:rsidRPr="005B2507">
        <w:rPr>
          <w:rFonts w:ascii="Helvetica" w:hAnsi="Helvetica" w:cs="Helvetica"/>
        </w:rPr>
        <w:object w:dxaOrig="11616" w:dyaOrig="2294">
          <v:shape id="_x0000_i1027" type="#_x0000_t75" style="width:457.5pt;height:85.5pt" o:ole="" filled="t">
            <v:fill color2="black"/>
            <v:imagedata r:id="rId10" o:title=""/>
          </v:shape>
          <o:OLEObject Type="Embed" ProgID="Excel.Sheet.8" ShapeID="_x0000_i1027" DrawAspect="Content" ObjectID="_1652786830" r:id="rId11"/>
        </w:object>
      </w:r>
    </w:p>
    <w:p w:rsidR="001B7FD6" w:rsidRDefault="001B7FD6" w:rsidP="001B7FD6">
      <w:pPr>
        <w:pStyle w:val="Default"/>
        <w:ind w:left="284"/>
        <w:rPr>
          <w:rFonts w:ascii="Helvetica" w:hAnsi="Helvetica" w:cs="Helvetica"/>
          <w:b/>
          <w:bCs/>
        </w:rPr>
      </w:pPr>
    </w:p>
    <w:p w:rsidR="001B7FD6" w:rsidRDefault="001B7FD6" w:rsidP="001B7FD6">
      <w:pPr>
        <w:pStyle w:val="Default"/>
        <w:ind w:left="284"/>
        <w:rPr>
          <w:rFonts w:ascii="Helvetica" w:hAnsi="Helvetica" w:cs="Helvetica"/>
          <w:b/>
          <w:bCs/>
        </w:rPr>
      </w:pPr>
    </w:p>
    <w:p w:rsidR="001B7FD6" w:rsidRDefault="001B7FD6">
      <w:pPr>
        <w:rPr>
          <w:rFonts w:ascii="Helvetica" w:hAnsi="Helvetica" w:cs="Helvetica"/>
          <w:b/>
          <w:bCs/>
        </w:rPr>
      </w:pPr>
      <w:r>
        <w:rPr>
          <w:rFonts w:ascii="Helvetica" w:hAnsi="Helvetica" w:cs="Helvetica"/>
          <w:b/>
          <w:bCs/>
        </w:rPr>
        <w:br w:type="page"/>
      </w:r>
    </w:p>
    <w:p w:rsidR="00813D09" w:rsidRDefault="00813D09" w:rsidP="00813D09">
      <w:pPr>
        <w:jc w:val="center"/>
        <w:rPr>
          <w:rFonts w:ascii="Helvetica" w:hAnsi="Helvetica" w:cs="Helvetica"/>
          <w:b/>
          <w:bCs/>
          <w:color w:val="000000"/>
          <w:sz w:val="24"/>
          <w:szCs w:val="24"/>
        </w:rPr>
      </w:pPr>
    </w:p>
    <w:p w:rsidR="00C11868" w:rsidRPr="001B7FD6" w:rsidRDefault="00C11868" w:rsidP="00C11868">
      <w:pPr>
        <w:pStyle w:val="Default"/>
        <w:numPr>
          <w:ilvl w:val="0"/>
          <w:numId w:val="1"/>
        </w:numPr>
        <w:ind w:left="284" w:hanging="284"/>
        <w:rPr>
          <w:rFonts w:ascii="Arial Narrow" w:hAnsi="Arial Narrow" w:cs="Helvetica"/>
          <w:b/>
          <w:bCs/>
        </w:rPr>
      </w:pPr>
      <w:r w:rsidRPr="001B7FD6">
        <w:rPr>
          <w:rFonts w:ascii="Arial Narrow" w:hAnsi="Arial Narrow" w:cs="Helvetica"/>
          <w:b/>
          <w:bCs/>
        </w:rPr>
        <w:t>Análisis del estado de resultados</w:t>
      </w:r>
    </w:p>
    <w:p w:rsidR="00D17125" w:rsidRPr="001B7FD6" w:rsidRDefault="00D17125" w:rsidP="00C11868">
      <w:pPr>
        <w:pStyle w:val="Default"/>
        <w:ind w:left="284"/>
        <w:rPr>
          <w:rFonts w:ascii="Arial Narrow" w:hAnsi="Arial Narrow"/>
          <w:sz w:val="20"/>
          <w:szCs w:val="20"/>
        </w:rPr>
      </w:pPr>
    </w:p>
    <w:p w:rsidR="00C11868" w:rsidRPr="001B7FD6" w:rsidRDefault="00D17125" w:rsidP="00D17125">
      <w:pPr>
        <w:jc w:val="both"/>
        <w:rPr>
          <w:rFonts w:ascii="Arial Narrow" w:hAnsi="Arial Narrow" w:cs="Helvetica"/>
          <w:color w:val="000000"/>
        </w:rPr>
      </w:pPr>
      <w:r w:rsidRPr="001B7FD6">
        <w:rPr>
          <w:rFonts w:ascii="Arial Narrow" w:hAnsi="Arial Narrow" w:cs="Helvetica"/>
          <w:color w:val="000000"/>
        </w:rPr>
        <w:t xml:space="preserve">Los principales componentes de los Estados de Resultados Integrales para los ejercicios terminados el 31 de </w:t>
      </w:r>
      <w:r w:rsidR="00A777B3">
        <w:rPr>
          <w:rFonts w:ascii="Arial Narrow" w:hAnsi="Arial Narrow" w:cs="Helvetica"/>
          <w:color w:val="000000"/>
        </w:rPr>
        <w:t>marzo</w:t>
      </w:r>
      <w:r w:rsidR="007552F6">
        <w:rPr>
          <w:rFonts w:ascii="Arial Narrow" w:hAnsi="Arial Narrow" w:cs="Helvetica"/>
          <w:color w:val="000000"/>
        </w:rPr>
        <w:t xml:space="preserve"> de 20</w:t>
      </w:r>
      <w:r w:rsidR="00A777B3">
        <w:rPr>
          <w:rFonts w:ascii="Arial Narrow" w:hAnsi="Arial Narrow" w:cs="Helvetica"/>
          <w:color w:val="000000"/>
        </w:rPr>
        <w:t>20</w:t>
      </w:r>
      <w:r w:rsidR="007552F6">
        <w:rPr>
          <w:rFonts w:ascii="Arial Narrow" w:hAnsi="Arial Narrow" w:cs="Helvetica"/>
          <w:color w:val="000000"/>
        </w:rPr>
        <w:t xml:space="preserve"> y 201</w:t>
      </w:r>
      <w:r w:rsidR="00A777B3">
        <w:rPr>
          <w:rFonts w:ascii="Arial Narrow" w:hAnsi="Arial Narrow" w:cs="Helvetica"/>
          <w:color w:val="000000"/>
        </w:rPr>
        <w:t>9</w:t>
      </w:r>
      <w:r w:rsidRPr="001B7FD6">
        <w:rPr>
          <w:rFonts w:ascii="Arial Narrow" w:hAnsi="Arial Narrow" w:cs="Helvetica"/>
          <w:color w:val="000000"/>
        </w:rPr>
        <w:t xml:space="preserve"> son los siguientes:</w:t>
      </w:r>
    </w:p>
    <w:bookmarkStart w:id="93" w:name="_MON_1525181713"/>
    <w:bookmarkEnd w:id="93"/>
    <w:p w:rsidR="00042FAD" w:rsidRPr="0035529D" w:rsidRDefault="00AE156A" w:rsidP="0035529D">
      <w:pPr>
        <w:pStyle w:val="Default"/>
        <w:rPr>
          <w:rFonts w:ascii="Helvetica" w:hAnsi="Helvetica" w:cs="Helvetica"/>
        </w:rPr>
      </w:pPr>
      <w:r w:rsidRPr="00BF6CE8">
        <w:rPr>
          <w:rFonts w:ascii="Helvetica" w:hAnsi="Helvetica" w:cs="Helvetica"/>
        </w:rPr>
        <w:object w:dxaOrig="9448" w:dyaOrig="4789">
          <v:shape id="_x0000_i1028" type="#_x0000_t75" style="width:434.25pt;height:248.25pt" o:ole="">
            <v:imagedata r:id="rId12" o:title=""/>
          </v:shape>
          <o:OLEObject Type="Embed" ProgID="Excel.Sheet.8" ShapeID="_x0000_i1028" DrawAspect="Content" ObjectID="_1652786831" r:id="rId13"/>
        </w:object>
      </w:r>
    </w:p>
    <w:p w:rsidR="004513EB" w:rsidRDefault="004513EB" w:rsidP="00D17125">
      <w:pPr>
        <w:pStyle w:val="Default"/>
        <w:jc w:val="both"/>
        <w:rPr>
          <w:rFonts w:ascii="Arial Narrow" w:hAnsi="Arial Narrow"/>
          <w:b/>
          <w:bCs/>
          <w:sz w:val="20"/>
          <w:szCs w:val="20"/>
        </w:rPr>
      </w:pPr>
    </w:p>
    <w:p w:rsidR="00C11868" w:rsidRPr="0035529D" w:rsidRDefault="00D17125" w:rsidP="00D17125">
      <w:pPr>
        <w:pStyle w:val="Default"/>
        <w:jc w:val="both"/>
        <w:rPr>
          <w:rFonts w:ascii="Arial Narrow" w:hAnsi="Arial Narrow" w:cs="Helvetica"/>
          <w:b/>
          <w:bCs/>
        </w:rPr>
      </w:pPr>
      <w:r w:rsidRPr="0035529D">
        <w:rPr>
          <w:rFonts w:ascii="Arial Narrow" w:hAnsi="Arial Narrow"/>
          <w:b/>
          <w:bCs/>
          <w:sz w:val="20"/>
          <w:szCs w:val="20"/>
        </w:rPr>
        <w:t>Ingresos de Actividades Ordinarias</w:t>
      </w:r>
    </w:p>
    <w:bookmarkStart w:id="94" w:name="_MON_1520841090"/>
    <w:bookmarkStart w:id="95" w:name="_MON_1521282967"/>
    <w:bookmarkStart w:id="96" w:name="_MON_1521282979"/>
    <w:bookmarkStart w:id="97" w:name="_MON_1521282990"/>
    <w:bookmarkEnd w:id="94"/>
    <w:bookmarkEnd w:id="95"/>
    <w:bookmarkEnd w:id="96"/>
    <w:bookmarkEnd w:id="97"/>
    <w:bookmarkStart w:id="98" w:name="_MON_1492874606"/>
    <w:bookmarkEnd w:id="98"/>
    <w:p w:rsidR="00D17125" w:rsidRPr="0035529D" w:rsidRDefault="00AE156A">
      <w:pPr>
        <w:rPr>
          <w:rFonts w:ascii="Arial Narrow" w:hAnsi="Arial Narrow" w:cs="Helvetica"/>
          <w:b/>
          <w:bCs/>
          <w:color w:val="000000"/>
          <w:sz w:val="24"/>
          <w:szCs w:val="24"/>
        </w:rPr>
      </w:pPr>
      <w:r w:rsidRPr="0035529D">
        <w:rPr>
          <w:rFonts w:ascii="Arial Narrow" w:hAnsi="Arial Narrow" w:cs="Helvetica"/>
          <w:szCs w:val="24"/>
        </w:rPr>
        <w:object w:dxaOrig="8298" w:dyaOrig="2640">
          <v:shape id="_x0000_i1029" type="#_x0000_t75" style="width:447.75pt;height:121.5pt" o:ole="">
            <v:imagedata r:id="rId14" o:title=""/>
          </v:shape>
          <o:OLEObject Type="Embed" ProgID="Excel.Sheet.12" ShapeID="_x0000_i1029" DrawAspect="Content" ObjectID="_1652786832" r:id="rId15"/>
        </w:object>
      </w:r>
    </w:p>
    <w:p w:rsidR="0035529D" w:rsidRDefault="0035529D">
      <w:pPr>
        <w:rPr>
          <w:rFonts w:ascii="Helvetica" w:hAnsi="Helvetica" w:cs="Helvetica"/>
          <w:b/>
          <w:bCs/>
          <w:color w:val="000000"/>
          <w:sz w:val="24"/>
          <w:szCs w:val="24"/>
        </w:rPr>
      </w:pPr>
      <w:r>
        <w:rPr>
          <w:rFonts w:ascii="Helvetica" w:hAnsi="Helvetica" w:cs="Helvetica"/>
          <w:b/>
          <w:bCs/>
          <w:color w:val="000000"/>
          <w:sz w:val="24"/>
          <w:szCs w:val="24"/>
        </w:rPr>
        <w:br w:type="page"/>
      </w:r>
    </w:p>
    <w:p w:rsidR="00C11868" w:rsidRDefault="00C11868">
      <w:pPr>
        <w:rPr>
          <w:rFonts w:ascii="Helvetica" w:hAnsi="Helvetica" w:cs="Helvetica"/>
          <w:b/>
          <w:bCs/>
          <w:color w:val="000000"/>
          <w:sz w:val="24"/>
          <w:szCs w:val="24"/>
        </w:rPr>
      </w:pPr>
    </w:p>
    <w:p w:rsidR="00C11868" w:rsidRDefault="00C11868" w:rsidP="00C11868">
      <w:pPr>
        <w:pStyle w:val="Default"/>
        <w:ind w:left="284"/>
        <w:jc w:val="center"/>
        <w:rPr>
          <w:rFonts w:ascii="Helvetica" w:hAnsi="Helvetica" w:cs="Helvetica"/>
          <w:b/>
          <w:bCs/>
        </w:rPr>
      </w:pPr>
    </w:p>
    <w:p w:rsidR="00042FAD" w:rsidRPr="0035529D" w:rsidRDefault="00042FAD" w:rsidP="009B7D03">
      <w:pPr>
        <w:jc w:val="both"/>
        <w:rPr>
          <w:rFonts w:ascii="Arial Narrow" w:hAnsi="Arial Narrow" w:cs="Helvetica"/>
          <w:b/>
          <w:i/>
          <w:color w:val="000000"/>
          <w:u w:val="single"/>
        </w:rPr>
      </w:pPr>
      <w:r w:rsidRPr="0035529D">
        <w:rPr>
          <w:rFonts w:ascii="Arial Narrow" w:hAnsi="Arial Narrow" w:cs="Helvetica"/>
          <w:b/>
          <w:i/>
          <w:color w:val="000000"/>
          <w:u w:val="single"/>
        </w:rPr>
        <w:t>Indicadores</w:t>
      </w:r>
    </w:p>
    <w:bookmarkStart w:id="99" w:name="_MON_1525183100"/>
    <w:bookmarkEnd w:id="99"/>
    <w:p w:rsidR="009B7D03" w:rsidRDefault="00CB084F" w:rsidP="00EC3FDA">
      <w:pPr>
        <w:pStyle w:val="Default"/>
        <w:ind w:left="284" w:hanging="284"/>
        <w:rPr>
          <w:rFonts w:ascii="Helvetica" w:hAnsi="Helvetica" w:cs="Helvetica"/>
        </w:rPr>
      </w:pPr>
      <w:r w:rsidRPr="00BF6CE8">
        <w:rPr>
          <w:rFonts w:ascii="Helvetica" w:hAnsi="Helvetica" w:cs="Helvetica"/>
        </w:rPr>
        <w:object w:dxaOrig="8836" w:dyaOrig="3806">
          <v:shape id="_x0000_i1030" type="#_x0000_t75" style="width:443.25pt;height:194.25pt" o:ole="">
            <v:imagedata r:id="rId16" o:title=""/>
          </v:shape>
          <o:OLEObject Type="Embed" ProgID="Excel.Sheet.8" ShapeID="_x0000_i1030" DrawAspect="Content" ObjectID="_1652786833" r:id="rId17"/>
        </w:object>
      </w:r>
    </w:p>
    <w:p w:rsidR="0035529D" w:rsidRDefault="00CF081B" w:rsidP="0035529D">
      <w:pPr>
        <w:jc w:val="both"/>
        <w:rPr>
          <w:rFonts w:ascii="Arial Narrow" w:hAnsi="Arial Narrow" w:cs="Helvetica"/>
          <w:szCs w:val="24"/>
        </w:rPr>
      </w:pPr>
      <w:r>
        <w:rPr>
          <w:rFonts w:ascii="Arial Narrow" w:hAnsi="Arial Narrow" w:cs="Helvetica"/>
          <w:szCs w:val="24"/>
        </w:rPr>
        <w:t>Las ventas del período 20</w:t>
      </w:r>
      <w:r w:rsidR="00CB084F">
        <w:rPr>
          <w:rFonts w:ascii="Arial Narrow" w:hAnsi="Arial Narrow" w:cs="Helvetica"/>
          <w:szCs w:val="24"/>
        </w:rPr>
        <w:t>20</w:t>
      </w:r>
      <w:r w:rsidR="0035529D" w:rsidRPr="0035529D">
        <w:rPr>
          <w:rFonts w:ascii="Arial Narrow" w:hAnsi="Arial Narrow" w:cs="Helvetica"/>
          <w:szCs w:val="24"/>
        </w:rPr>
        <w:t xml:space="preserve"> muestran un pequeño deterioro</w:t>
      </w:r>
      <w:r>
        <w:rPr>
          <w:rFonts w:ascii="Arial Narrow" w:hAnsi="Arial Narrow" w:cs="Helvetica"/>
          <w:szCs w:val="24"/>
        </w:rPr>
        <w:t xml:space="preserve"> respecto del mismo período 201</w:t>
      </w:r>
      <w:r w:rsidR="00CB084F">
        <w:rPr>
          <w:rFonts w:ascii="Arial Narrow" w:hAnsi="Arial Narrow" w:cs="Helvetica"/>
          <w:szCs w:val="24"/>
        </w:rPr>
        <w:t>9</w:t>
      </w:r>
      <w:r w:rsidR="0035529D" w:rsidRPr="0035529D">
        <w:rPr>
          <w:rFonts w:ascii="Arial Narrow" w:hAnsi="Arial Narrow" w:cs="Helvetica"/>
          <w:szCs w:val="24"/>
        </w:rPr>
        <w:t xml:space="preserve"> (cercano al </w:t>
      </w:r>
      <w:r w:rsidR="00CB084F">
        <w:rPr>
          <w:rFonts w:ascii="Arial Narrow" w:hAnsi="Arial Narrow" w:cs="Helvetica"/>
          <w:szCs w:val="24"/>
        </w:rPr>
        <w:t>1</w:t>
      </w:r>
      <w:r w:rsidR="0035529D" w:rsidRPr="0035529D">
        <w:rPr>
          <w:rFonts w:ascii="Arial Narrow" w:hAnsi="Arial Narrow" w:cs="Helvetica"/>
          <w:szCs w:val="24"/>
        </w:rPr>
        <w:t>%), y los principales gastos mues</w:t>
      </w:r>
      <w:r>
        <w:rPr>
          <w:rFonts w:ascii="Arial Narrow" w:hAnsi="Arial Narrow" w:cs="Helvetica"/>
          <w:szCs w:val="24"/>
        </w:rPr>
        <w:t xml:space="preserve">tran un incremento cercano al </w:t>
      </w:r>
      <w:r w:rsidR="00CB084F">
        <w:rPr>
          <w:rFonts w:ascii="Arial Narrow" w:hAnsi="Arial Narrow" w:cs="Helvetica"/>
          <w:szCs w:val="24"/>
        </w:rPr>
        <w:t>6</w:t>
      </w:r>
      <w:r w:rsidR="0035529D" w:rsidRPr="0035529D">
        <w:rPr>
          <w:rFonts w:ascii="Arial Narrow" w:hAnsi="Arial Narrow" w:cs="Helvetica"/>
          <w:szCs w:val="24"/>
        </w:rPr>
        <w:t>%, situaciones que influyen en que todos los indicadores de rentabilidad manifiesten un deterioro comparativa</w:t>
      </w:r>
      <w:r>
        <w:rPr>
          <w:rFonts w:ascii="Arial Narrow" w:hAnsi="Arial Narrow" w:cs="Helvetica"/>
          <w:szCs w:val="24"/>
        </w:rPr>
        <w:t>mente con e</w:t>
      </w:r>
      <w:r w:rsidR="0035529D" w:rsidRPr="0035529D">
        <w:rPr>
          <w:rFonts w:ascii="Arial Narrow" w:hAnsi="Arial Narrow" w:cs="Helvetica"/>
          <w:szCs w:val="24"/>
        </w:rPr>
        <w:t>l año anterior.</w:t>
      </w:r>
    </w:p>
    <w:p w:rsidR="0035529D" w:rsidRDefault="0035529D" w:rsidP="00EC3FDA">
      <w:pPr>
        <w:pStyle w:val="Default"/>
        <w:ind w:left="284" w:hanging="284"/>
        <w:rPr>
          <w:rFonts w:ascii="Helvetica" w:hAnsi="Helvetica" w:cs="Helvetica"/>
          <w:b/>
          <w:bCs/>
        </w:rPr>
      </w:pPr>
    </w:p>
    <w:p w:rsidR="0035529D" w:rsidRPr="00CE3AFE" w:rsidRDefault="0035529D" w:rsidP="0035529D">
      <w:pPr>
        <w:jc w:val="both"/>
        <w:rPr>
          <w:rFonts w:ascii="Arial Narrow" w:hAnsi="Arial Narrow" w:cs="Helvetica"/>
          <w:szCs w:val="24"/>
        </w:rPr>
      </w:pPr>
      <w:r w:rsidRPr="00CE3AFE">
        <w:rPr>
          <w:rFonts w:ascii="Arial Narrow" w:hAnsi="Arial Narrow" w:cs="Helvetica"/>
          <w:szCs w:val="24"/>
        </w:rPr>
        <w:t xml:space="preserve">Como ya se manifestó la compañía manifiesta una constante situación de patrimonio negativo, que ha sido originado por la acumulación de pérdidas operacionales, sin </w:t>
      </w:r>
      <w:r w:rsidR="00CF081B" w:rsidRPr="00CE3AFE">
        <w:rPr>
          <w:rFonts w:ascii="Arial Narrow" w:hAnsi="Arial Narrow" w:cs="Helvetica"/>
          <w:szCs w:val="24"/>
        </w:rPr>
        <w:t>embargo,</w:t>
      </w:r>
      <w:r w:rsidRPr="00CE3AFE">
        <w:rPr>
          <w:rFonts w:ascii="Arial Narrow" w:hAnsi="Arial Narrow" w:cs="Helvetica"/>
          <w:szCs w:val="24"/>
        </w:rPr>
        <w:t xml:space="preserve"> esta condición ha sido cubierta por otras empresas que pertenecen al holding proveyendo del financiamiento para cubrir las necesidades de caja. </w:t>
      </w:r>
    </w:p>
    <w:p w:rsidR="0035529D" w:rsidRDefault="0035529D" w:rsidP="00EC3FDA">
      <w:pPr>
        <w:pStyle w:val="Default"/>
        <w:ind w:left="284" w:hanging="284"/>
        <w:rPr>
          <w:rFonts w:ascii="Helvetica" w:hAnsi="Helvetica" w:cs="Helvetica"/>
          <w:b/>
          <w:bCs/>
        </w:rPr>
      </w:pPr>
    </w:p>
    <w:p w:rsidR="00CF081B" w:rsidRDefault="00CF081B" w:rsidP="00EC3FDA">
      <w:pPr>
        <w:pStyle w:val="Default"/>
        <w:ind w:left="284" w:hanging="284"/>
        <w:rPr>
          <w:rFonts w:ascii="Helvetica" w:hAnsi="Helvetica" w:cs="Helvetica"/>
          <w:b/>
          <w:bCs/>
        </w:rPr>
      </w:pPr>
    </w:p>
    <w:p w:rsidR="00CF081B" w:rsidRDefault="00CF081B" w:rsidP="00EC3FDA">
      <w:pPr>
        <w:pStyle w:val="Default"/>
        <w:ind w:left="284" w:hanging="284"/>
        <w:rPr>
          <w:rFonts w:ascii="Helvetica" w:hAnsi="Helvetica" w:cs="Helvetica"/>
          <w:b/>
          <w:bCs/>
        </w:rPr>
      </w:pPr>
    </w:p>
    <w:p w:rsidR="0035529D" w:rsidRDefault="0035529D" w:rsidP="00EC3FDA">
      <w:pPr>
        <w:pStyle w:val="Default"/>
        <w:ind w:left="284" w:hanging="284"/>
        <w:rPr>
          <w:rFonts w:ascii="Helvetica" w:hAnsi="Helvetica" w:cs="Helvetica"/>
          <w:b/>
          <w:bCs/>
        </w:rPr>
      </w:pPr>
    </w:p>
    <w:p w:rsidR="00CF081B" w:rsidRDefault="00CF081B" w:rsidP="00CE3AFE">
      <w:pPr>
        <w:pStyle w:val="Default"/>
        <w:ind w:left="284" w:hanging="284"/>
        <w:jc w:val="center"/>
        <w:rPr>
          <w:rFonts w:ascii="Helvetica" w:hAnsi="Helvetica" w:cs="Helvetica"/>
          <w:b/>
          <w:bCs/>
        </w:rPr>
      </w:pPr>
    </w:p>
    <w:p w:rsidR="00CF081B" w:rsidRDefault="00CF081B" w:rsidP="00CE3AFE">
      <w:pPr>
        <w:pStyle w:val="Default"/>
        <w:ind w:left="284" w:hanging="284"/>
        <w:jc w:val="center"/>
        <w:rPr>
          <w:rFonts w:ascii="Helvetica" w:hAnsi="Helvetica" w:cs="Helvetica"/>
          <w:b/>
          <w:bCs/>
        </w:rPr>
      </w:pPr>
    </w:p>
    <w:p w:rsidR="00CF081B" w:rsidRDefault="00CF081B" w:rsidP="00CE3AFE">
      <w:pPr>
        <w:pStyle w:val="Default"/>
        <w:ind w:left="284" w:hanging="284"/>
        <w:jc w:val="center"/>
        <w:rPr>
          <w:rFonts w:ascii="Helvetica" w:hAnsi="Helvetica" w:cs="Helvetica"/>
          <w:b/>
          <w:bCs/>
        </w:rPr>
      </w:pPr>
    </w:p>
    <w:p w:rsidR="00CF081B" w:rsidRDefault="00CF081B" w:rsidP="00CE3AFE">
      <w:pPr>
        <w:pStyle w:val="Default"/>
        <w:ind w:left="284" w:hanging="284"/>
        <w:jc w:val="center"/>
        <w:rPr>
          <w:rFonts w:ascii="Helvetica" w:hAnsi="Helvetica" w:cs="Helvetica"/>
          <w:b/>
          <w:bCs/>
        </w:rPr>
      </w:pPr>
    </w:p>
    <w:p w:rsidR="00CF081B" w:rsidRDefault="00CF081B" w:rsidP="00CE3AFE">
      <w:pPr>
        <w:pStyle w:val="Default"/>
        <w:ind w:left="284" w:hanging="284"/>
        <w:jc w:val="center"/>
        <w:rPr>
          <w:rFonts w:ascii="Helvetica" w:hAnsi="Helvetica" w:cs="Helvetica"/>
          <w:b/>
          <w:bCs/>
        </w:rPr>
      </w:pPr>
    </w:p>
    <w:p w:rsidR="00CF081B" w:rsidRDefault="00CF081B" w:rsidP="00CE3AFE">
      <w:pPr>
        <w:pStyle w:val="Default"/>
        <w:ind w:left="284" w:hanging="284"/>
        <w:jc w:val="center"/>
        <w:rPr>
          <w:rFonts w:ascii="Helvetica" w:hAnsi="Helvetica" w:cs="Helvetica"/>
          <w:b/>
          <w:bCs/>
        </w:rPr>
      </w:pPr>
    </w:p>
    <w:p w:rsidR="00CF081B" w:rsidRDefault="00CF081B" w:rsidP="00CE3AFE">
      <w:pPr>
        <w:pStyle w:val="Default"/>
        <w:ind w:left="284" w:hanging="284"/>
        <w:jc w:val="center"/>
        <w:rPr>
          <w:rFonts w:ascii="Helvetica" w:hAnsi="Helvetica" w:cs="Helvetica"/>
          <w:b/>
          <w:bCs/>
        </w:rPr>
      </w:pPr>
    </w:p>
    <w:p w:rsidR="00C42BF3" w:rsidRDefault="00C42BF3" w:rsidP="00CE3AFE">
      <w:pPr>
        <w:pStyle w:val="Default"/>
        <w:ind w:left="284" w:hanging="284"/>
        <w:jc w:val="center"/>
        <w:rPr>
          <w:rFonts w:ascii="Helvetica" w:hAnsi="Helvetica" w:cs="Helvetica"/>
          <w:b/>
          <w:bCs/>
        </w:rPr>
      </w:pPr>
    </w:p>
    <w:p w:rsidR="00C42BF3" w:rsidRDefault="00C42BF3" w:rsidP="00CE3AFE">
      <w:pPr>
        <w:pStyle w:val="Default"/>
        <w:ind w:left="284" w:hanging="284"/>
        <w:jc w:val="center"/>
        <w:rPr>
          <w:rFonts w:ascii="Helvetica" w:hAnsi="Helvetica" w:cs="Helvetica"/>
          <w:b/>
          <w:bCs/>
        </w:rPr>
      </w:pPr>
    </w:p>
    <w:p w:rsidR="00C42BF3" w:rsidRDefault="00C42BF3" w:rsidP="00CE3AFE">
      <w:pPr>
        <w:pStyle w:val="Default"/>
        <w:ind w:left="284" w:hanging="284"/>
        <w:jc w:val="center"/>
        <w:rPr>
          <w:rFonts w:ascii="Helvetica" w:hAnsi="Helvetica" w:cs="Helvetica"/>
          <w:b/>
          <w:bCs/>
        </w:rPr>
      </w:pPr>
    </w:p>
    <w:p w:rsidR="00CF081B" w:rsidRDefault="00CF081B" w:rsidP="00CE3AFE">
      <w:pPr>
        <w:pStyle w:val="Default"/>
        <w:ind w:left="284" w:hanging="284"/>
        <w:jc w:val="center"/>
        <w:rPr>
          <w:rFonts w:ascii="Helvetica" w:hAnsi="Helvetica" w:cs="Helvetica"/>
          <w:b/>
          <w:bCs/>
        </w:rPr>
      </w:pPr>
    </w:p>
    <w:p w:rsidR="00CF081B" w:rsidRDefault="00CF081B" w:rsidP="00CE3AFE">
      <w:pPr>
        <w:pStyle w:val="Default"/>
        <w:ind w:left="284" w:hanging="284"/>
        <w:jc w:val="center"/>
        <w:rPr>
          <w:rFonts w:ascii="Helvetica" w:hAnsi="Helvetica" w:cs="Helvetica"/>
          <w:b/>
          <w:bCs/>
        </w:rPr>
      </w:pPr>
    </w:p>
    <w:p w:rsidR="0035529D" w:rsidRDefault="0035529D" w:rsidP="00CE3AFE">
      <w:pPr>
        <w:pStyle w:val="Default"/>
        <w:ind w:left="284" w:hanging="284"/>
        <w:jc w:val="center"/>
        <w:rPr>
          <w:rFonts w:ascii="Helvetica" w:hAnsi="Helvetica" w:cs="Helvetica"/>
          <w:b/>
          <w:bCs/>
        </w:rPr>
      </w:pPr>
    </w:p>
    <w:p w:rsidR="00CE3AFE" w:rsidRDefault="00CE3AFE" w:rsidP="00EC3FDA">
      <w:pPr>
        <w:pStyle w:val="Default"/>
        <w:ind w:left="284" w:hanging="284"/>
        <w:rPr>
          <w:rFonts w:ascii="Helvetica" w:hAnsi="Helvetica" w:cs="Helvetica"/>
          <w:b/>
          <w:bCs/>
        </w:rPr>
      </w:pPr>
    </w:p>
    <w:p w:rsidR="00CE3AFE" w:rsidRDefault="00CE3AFE" w:rsidP="00EC3FDA">
      <w:pPr>
        <w:pStyle w:val="Default"/>
        <w:ind w:left="284" w:hanging="284"/>
        <w:rPr>
          <w:rFonts w:ascii="Helvetica" w:hAnsi="Helvetica" w:cs="Helvetica"/>
          <w:b/>
          <w:bCs/>
        </w:rPr>
      </w:pPr>
    </w:p>
    <w:p w:rsidR="009B7D03" w:rsidRPr="00CE3AFE" w:rsidRDefault="009B7D03" w:rsidP="009B7D03">
      <w:pPr>
        <w:pStyle w:val="Default"/>
        <w:numPr>
          <w:ilvl w:val="0"/>
          <w:numId w:val="1"/>
        </w:numPr>
        <w:ind w:left="284" w:hanging="284"/>
        <w:rPr>
          <w:rFonts w:ascii="Arial Narrow" w:hAnsi="Arial Narrow" w:cs="Helvetica"/>
          <w:b/>
          <w:bCs/>
        </w:rPr>
      </w:pPr>
      <w:r w:rsidRPr="00CE3AFE">
        <w:rPr>
          <w:rFonts w:ascii="Arial Narrow" w:hAnsi="Arial Narrow" w:cs="Helvetica"/>
          <w:b/>
          <w:bCs/>
        </w:rPr>
        <w:t>Análisis del estado de flujo de efectivo</w:t>
      </w:r>
    </w:p>
    <w:p w:rsidR="009B7D03" w:rsidRPr="00CE3AFE" w:rsidRDefault="009B7D03" w:rsidP="009B7D03">
      <w:pPr>
        <w:pStyle w:val="Default"/>
        <w:rPr>
          <w:rFonts w:ascii="Arial Narrow" w:hAnsi="Arial Narrow" w:cs="Helvetica"/>
          <w:b/>
          <w:bCs/>
        </w:rPr>
      </w:pPr>
    </w:p>
    <w:tbl>
      <w:tblPr>
        <w:tblW w:w="11876" w:type="dxa"/>
        <w:tblInd w:w="54" w:type="dxa"/>
        <w:tblCellMar>
          <w:left w:w="70" w:type="dxa"/>
          <w:right w:w="70" w:type="dxa"/>
        </w:tblCellMar>
        <w:tblLook w:val="04A0" w:firstRow="1" w:lastRow="0" w:firstColumn="1" w:lastColumn="0" w:noHBand="0" w:noVBand="1"/>
      </w:tblPr>
      <w:tblGrid>
        <w:gridCol w:w="9636"/>
        <w:gridCol w:w="1041"/>
        <w:gridCol w:w="191"/>
        <w:gridCol w:w="1041"/>
      </w:tblGrid>
      <w:tr w:rsidR="00042FAD" w:rsidRPr="00CE3AFE" w:rsidTr="00570106">
        <w:trPr>
          <w:trHeight w:val="259"/>
        </w:trPr>
        <w:tc>
          <w:tcPr>
            <w:tcW w:w="9603" w:type="dxa"/>
            <w:tcBorders>
              <w:top w:val="nil"/>
              <w:left w:val="nil"/>
              <w:bottom w:val="nil"/>
              <w:right w:val="nil"/>
            </w:tcBorders>
            <w:shd w:val="clear" w:color="000000" w:fill="FFFFFF"/>
            <w:noWrap/>
            <w:vAlign w:val="bottom"/>
            <w:hideMark/>
          </w:tcPr>
          <w:bookmarkStart w:id="100" w:name="_MON_1558517660"/>
          <w:bookmarkEnd w:id="100"/>
          <w:p w:rsidR="00042FAD" w:rsidRPr="00CE3AFE" w:rsidRDefault="00CB084F" w:rsidP="00042FAD">
            <w:pPr>
              <w:spacing w:after="0" w:line="240" w:lineRule="auto"/>
              <w:rPr>
                <w:rFonts w:ascii="Arial Narrow" w:eastAsia="Times New Roman" w:hAnsi="Arial Narrow" w:cs="Helvetica"/>
                <w:sz w:val="18"/>
                <w:szCs w:val="18"/>
                <w:lang w:eastAsia="es-CL"/>
              </w:rPr>
            </w:pPr>
            <w:r w:rsidRPr="00CE3AFE">
              <w:rPr>
                <w:rFonts w:ascii="Arial Narrow" w:hAnsi="Arial Narrow" w:cs="Helvetica"/>
              </w:rPr>
              <w:object w:dxaOrig="9657" w:dyaOrig="3057">
                <v:shape id="_x0000_i1031" type="#_x0000_t75" style="width:472.5pt;height:153pt" o:ole="">
                  <v:imagedata r:id="rId18" o:title=""/>
                </v:shape>
                <o:OLEObject Type="Embed" ProgID="Excel.Sheet.8" ShapeID="_x0000_i1031" DrawAspect="Content" ObjectID="_1652786834" r:id="rId19"/>
              </w:object>
            </w:r>
            <w:r w:rsidR="00042FAD" w:rsidRPr="00CE3AFE">
              <w:rPr>
                <w:rFonts w:ascii="Arial Narrow" w:eastAsia="Times New Roman" w:hAnsi="Arial Narrow" w:cs="Helvetica"/>
                <w:sz w:val="18"/>
                <w:szCs w:val="18"/>
                <w:lang w:eastAsia="es-CL"/>
              </w:rPr>
              <w:t> </w:t>
            </w:r>
          </w:p>
        </w:tc>
        <w:tc>
          <w:tcPr>
            <w:tcW w:w="1041" w:type="dxa"/>
            <w:tcBorders>
              <w:top w:val="nil"/>
              <w:left w:val="nil"/>
              <w:bottom w:val="nil"/>
              <w:right w:val="nil"/>
            </w:tcBorders>
            <w:shd w:val="clear" w:color="auto" w:fill="auto"/>
            <w:noWrap/>
            <w:vAlign w:val="bottom"/>
            <w:hideMark/>
          </w:tcPr>
          <w:p w:rsidR="00042FAD" w:rsidRPr="00CE3AFE" w:rsidRDefault="00042FAD" w:rsidP="00042FAD">
            <w:pPr>
              <w:spacing w:after="0" w:line="240" w:lineRule="auto"/>
              <w:jc w:val="center"/>
              <w:rPr>
                <w:rFonts w:ascii="Arial Narrow" w:eastAsia="Times New Roman" w:hAnsi="Arial Narrow" w:cs="Helvetica"/>
                <w:sz w:val="18"/>
                <w:szCs w:val="18"/>
                <w:lang w:eastAsia="es-CL"/>
              </w:rPr>
            </w:pPr>
          </w:p>
        </w:tc>
        <w:tc>
          <w:tcPr>
            <w:tcW w:w="191" w:type="dxa"/>
            <w:tcBorders>
              <w:top w:val="nil"/>
              <w:left w:val="nil"/>
              <w:bottom w:val="nil"/>
              <w:right w:val="nil"/>
            </w:tcBorders>
            <w:shd w:val="clear" w:color="000000" w:fill="FFFFFF"/>
            <w:noWrap/>
            <w:vAlign w:val="bottom"/>
            <w:hideMark/>
          </w:tcPr>
          <w:p w:rsidR="00042FAD" w:rsidRPr="00CE3AFE" w:rsidRDefault="00042FAD" w:rsidP="00042FAD">
            <w:pPr>
              <w:spacing w:after="0" w:line="240" w:lineRule="auto"/>
              <w:jc w:val="center"/>
              <w:rPr>
                <w:rFonts w:ascii="Arial Narrow" w:eastAsia="Times New Roman" w:hAnsi="Arial Narrow" w:cs="Helvetica"/>
                <w:sz w:val="18"/>
                <w:szCs w:val="18"/>
                <w:lang w:eastAsia="es-CL"/>
              </w:rPr>
            </w:pPr>
            <w:r w:rsidRPr="00CE3AFE">
              <w:rPr>
                <w:rFonts w:ascii="Arial Narrow" w:eastAsia="Times New Roman" w:hAnsi="Arial Narrow" w:cs="Helvetica"/>
                <w:sz w:val="18"/>
                <w:szCs w:val="18"/>
                <w:lang w:eastAsia="es-CL"/>
              </w:rPr>
              <w:t> </w:t>
            </w:r>
          </w:p>
        </w:tc>
        <w:tc>
          <w:tcPr>
            <w:tcW w:w="1041" w:type="dxa"/>
            <w:tcBorders>
              <w:top w:val="nil"/>
              <w:left w:val="nil"/>
              <w:bottom w:val="nil"/>
              <w:right w:val="nil"/>
            </w:tcBorders>
            <w:shd w:val="clear" w:color="auto" w:fill="auto"/>
            <w:noWrap/>
            <w:vAlign w:val="bottom"/>
            <w:hideMark/>
          </w:tcPr>
          <w:p w:rsidR="00042FAD" w:rsidRPr="00CE3AFE" w:rsidRDefault="00042FAD" w:rsidP="00042FAD">
            <w:pPr>
              <w:spacing w:after="0" w:line="240" w:lineRule="auto"/>
              <w:jc w:val="center"/>
              <w:rPr>
                <w:rFonts w:ascii="Arial Narrow" w:eastAsia="Times New Roman" w:hAnsi="Arial Narrow" w:cs="Helvetica"/>
                <w:sz w:val="18"/>
                <w:szCs w:val="18"/>
                <w:lang w:eastAsia="es-CL"/>
              </w:rPr>
            </w:pPr>
          </w:p>
        </w:tc>
      </w:tr>
    </w:tbl>
    <w:p w:rsidR="00042FAD" w:rsidRPr="00CE3AFE" w:rsidRDefault="009B7D03" w:rsidP="009B7D03">
      <w:pPr>
        <w:jc w:val="both"/>
        <w:rPr>
          <w:rFonts w:ascii="Arial Narrow" w:hAnsi="Arial Narrow" w:cs="Helvetica"/>
          <w:color w:val="000000"/>
        </w:rPr>
      </w:pPr>
      <w:r w:rsidRPr="00CE3AFE">
        <w:rPr>
          <w:rFonts w:ascii="Arial Narrow" w:hAnsi="Arial Narrow" w:cs="Helvetica"/>
          <w:color w:val="000000"/>
        </w:rPr>
        <w:t>Como se verifica la compañía no ha podido generar flujos operacionales positivos, ante lo cual ha debido recurrir al financiamiento provisto por las compañías relacionadas.</w:t>
      </w:r>
      <w:r w:rsidR="00CE3AFE">
        <w:rPr>
          <w:rFonts w:ascii="Arial Narrow" w:hAnsi="Arial Narrow" w:cs="Helvetica"/>
          <w:color w:val="000000"/>
        </w:rPr>
        <w:t xml:space="preserve"> </w:t>
      </w:r>
      <w:r w:rsidR="002B3E5A">
        <w:rPr>
          <w:rFonts w:ascii="Arial Narrow" w:hAnsi="Arial Narrow" w:cs="Helvetica"/>
          <w:color w:val="000000"/>
        </w:rPr>
        <w:t xml:space="preserve">Es así como el flujo de financiamiento es </w:t>
      </w:r>
      <w:r w:rsidR="002B3E5A">
        <w:rPr>
          <w:rFonts w:ascii="Arial Narrow" w:hAnsi="Arial Narrow" w:cs="Helvetica"/>
          <w:color w:val="000000"/>
        </w:rPr>
        <w:lastRenderedPageBreak/>
        <w:t>positivo debido al apoyo de recursos provistos por la empresa relacionada Trongol Ltda., lo que ha permitido cubrir los déficits operacionales y realizar las inversiones mínimas para el desarrollo de las actividades.</w:t>
      </w:r>
    </w:p>
    <w:p w:rsidR="009B7D03" w:rsidRPr="00CE3AFE" w:rsidRDefault="009B7D03" w:rsidP="00C11868">
      <w:pPr>
        <w:pStyle w:val="Default"/>
        <w:ind w:left="284"/>
        <w:rPr>
          <w:rFonts w:ascii="Arial Narrow" w:hAnsi="Arial Narrow" w:cs="Helvetica"/>
          <w:b/>
          <w:bCs/>
        </w:rPr>
      </w:pPr>
    </w:p>
    <w:p w:rsidR="009B7D03" w:rsidRPr="00CE3AFE" w:rsidRDefault="009B7D03" w:rsidP="009B7D03">
      <w:pPr>
        <w:pStyle w:val="Default"/>
        <w:ind w:left="284"/>
        <w:jc w:val="center"/>
        <w:rPr>
          <w:rFonts w:ascii="Arial Narrow" w:hAnsi="Arial Narrow" w:cs="Helvetica"/>
          <w:b/>
          <w:bCs/>
        </w:rPr>
      </w:pPr>
    </w:p>
    <w:p w:rsidR="00836C87" w:rsidRPr="00CE3AFE" w:rsidRDefault="00836C87" w:rsidP="00836C87">
      <w:pPr>
        <w:pStyle w:val="Default"/>
        <w:ind w:left="284"/>
        <w:rPr>
          <w:rFonts w:ascii="Arial Narrow" w:hAnsi="Arial Narrow" w:cs="Helvetica"/>
          <w:b/>
          <w:bCs/>
        </w:rPr>
      </w:pPr>
    </w:p>
    <w:p w:rsidR="009B7D03" w:rsidRPr="00CE3AFE" w:rsidRDefault="009B7D03" w:rsidP="009B7D03">
      <w:pPr>
        <w:pStyle w:val="Default"/>
        <w:numPr>
          <w:ilvl w:val="0"/>
          <w:numId w:val="1"/>
        </w:numPr>
        <w:ind w:left="284" w:hanging="284"/>
        <w:rPr>
          <w:rFonts w:ascii="Arial Narrow" w:hAnsi="Arial Narrow" w:cs="Helvetica"/>
          <w:b/>
          <w:bCs/>
        </w:rPr>
      </w:pPr>
      <w:r w:rsidRPr="00CE3AFE">
        <w:rPr>
          <w:rFonts w:ascii="Arial Narrow" w:hAnsi="Arial Narrow" w:cs="Helvetica"/>
          <w:b/>
          <w:bCs/>
        </w:rPr>
        <w:t>Análisis general de los estados financieros</w:t>
      </w:r>
    </w:p>
    <w:p w:rsidR="009B7D03" w:rsidRPr="00CE3AFE" w:rsidRDefault="009B7D03" w:rsidP="009B7D03">
      <w:pPr>
        <w:pStyle w:val="Default"/>
        <w:ind w:left="284"/>
        <w:rPr>
          <w:rFonts w:ascii="Arial Narrow" w:hAnsi="Arial Narrow" w:cs="Helvetica"/>
          <w:b/>
          <w:bCs/>
        </w:rPr>
      </w:pPr>
    </w:p>
    <w:p w:rsidR="00210B96" w:rsidRDefault="00210B96" w:rsidP="00CE3AFE">
      <w:pPr>
        <w:jc w:val="both"/>
        <w:rPr>
          <w:rFonts w:ascii="Arial Narrow" w:hAnsi="Arial Narrow" w:cs="Helvetica"/>
          <w:color w:val="000000"/>
        </w:rPr>
      </w:pPr>
      <w:r>
        <w:rPr>
          <w:rFonts w:ascii="Arial Narrow" w:hAnsi="Arial Narrow" w:cs="Helvetica"/>
          <w:color w:val="000000"/>
        </w:rPr>
        <w:t>El análisis de los estados financieros es similar al del año 201</w:t>
      </w:r>
      <w:r w:rsidR="00CB084F">
        <w:rPr>
          <w:rFonts w:ascii="Arial Narrow" w:hAnsi="Arial Narrow" w:cs="Helvetica"/>
          <w:color w:val="000000"/>
        </w:rPr>
        <w:t>9</w:t>
      </w:r>
      <w:r>
        <w:rPr>
          <w:rFonts w:ascii="Arial Narrow" w:hAnsi="Arial Narrow" w:cs="Helvetica"/>
          <w:color w:val="000000"/>
        </w:rPr>
        <w:t>, evidenciándose dichas condiciones con mayor énfasis.</w:t>
      </w:r>
    </w:p>
    <w:p w:rsidR="00CE3AFE" w:rsidRPr="00CE3AFE" w:rsidRDefault="00CE3AFE" w:rsidP="00CE3AFE">
      <w:pPr>
        <w:jc w:val="both"/>
        <w:rPr>
          <w:rFonts w:ascii="Arial Narrow" w:hAnsi="Arial Narrow" w:cs="Helvetica"/>
          <w:color w:val="000000"/>
        </w:rPr>
      </w:pPr>
      <w:r w:rsidRPr="00CE3AFE">
        <w:rPr>
          <w:rFonts w:ascii="Arial Narrow" w:hAnsi="Arial Narrow" w:cs="Helvetica"/>
          <w:color w:val="000000"/>
        </w:rPr>
        <w:t xml:space="preserve">La industria televisiva es una actividad muy compleja para obtener rentabilidades y más aún para señales con un mercado restringido, como lo es en el caso de RDT S.A., que básicamente es un canal regional y familiar, esto se ha visto reflejado en una permanente situación deficitaria, que ha llevado a que la compañía presente un patrimonio negativo, sin embargo no presenta un pasivo bancario o con terceros, puesto que la referida condición deficitaria ha sido financiada por una compañía relacionada, que es también de la industria de las comunicaciones. </w:t>
      </w:r>
    </w:p>
    <w:p w:rsidR="00CE3AFE" w:rsidRPr="00CE3AFE" w:rsidRDefault="00CE3AFE" w:rsidP="00CE3AFE">
      <w:pPr>
        <w:jc w:val="both"/>
        <w:rPr>
          <w:rFonts w:ascii="Arial Narrow" w:hAnsi="Arial Narrow" w:cs="Helvetica"/>
          <w:color w:val="000000"/>
        </w:rPr>
      </w:pPr>
      <w:r w:rsidRPr="00CE3AFE">
        <w:rPr>
          <w:rFonts w:ascii="Arial Narrow" w:hAnsi="Arial Narrow" w:cs="Helvetica"/>
          <w:color w:val="000000"/>
        </w:rPr>
        <w:t>Los estados financieros evidencian claramente una condición de patrimonio negativo, el que ha sido financiado por Servicios Trongol</w:t>
      </w:r>
      <w:r w:rsidR="00210B96">
        <w:rPr>
          <w:rFonts w:ascii="Arial Narrow" w:hAnsi="Arial Narrow" w:cs="Helvetica"/>
          <w:color w:val="000000"/>
        </w:rPr>
        <w:t xml:space="preserve"> Ltda.</w:t>
      </w:r>
      <w:r w:rsidRPr="00CE3AFE">
        <w:rPr>
          <w:rFonts w:ascii="Arial Narrow" w:hAnsi="Arial Narrow" w:cs="Helvetica"/>
          <w:color w:val="000000"/>
        </w:rPr>
        <w:t>, los indicadores de rentabilidad se han deteriorado por menores ingresos y un incremento de los costos de personal y otros costos operacionales, siendo los principales activos las cuentas por cobrar comerciales y el activo fijo.</w:t>
      </w:r>
    </w:p>
    <w:p w:rsidR="009B7D03" w:rsidRPr="00CE3AFE" w:rsidRDefault="009B7D03" w:rsidP="009B7D03">
      <w:pPr>
        <w:pStyle w:val="Default"/>
        <w:ind w:left="284"/>
        <w:rPr>
          <w:rFonts w:ascii="Arial Narrow" w:hAnsi="Arial Narrow" w:cs="Helvetica"/>
          <w:b/>
          <w:bCs/>
        </w:rPr>
      </w:pPr>
    </w:p>
    <w:p w:rsidR="00CE3AFE" w:rsidRDefault="00CE3AFE">
      <w:pPr>
        <w:rPr>
          <w:rFonts w:ascii="Arial Narrow" w:hAnsi="Arial Narrow" w:cs="Helvetica"/>
          <w:b/>
          <w:bCs/>
        </w:rPr>
      </w:pPr>
      <w:r>
        <w:rPr>
          <w:rFonts w:ascii="Arial Narrow" w:hAnsi="Arial Narrow" w:cs="Helvetica"/>
          <w:b/>
          <w:bCs/>
        </w:rPr>
        <w:br w:type="page"/>
      </w:r>
    </w:p>
    <w:p w:rsidR="00813D09" w:rsidRDefault="00813D09" w:rsidP="00813D09">
      <w:pPr>
        <w:jc w:val="center"/>
        <w:rPr>
          <w:rFonts w:ascii="Arial Narrow" w:hAnsi="Arial Narrow" w:cs="Helvetica"/>
          <w:b/>
          <w:bCs/>
          <w:color w:val="000000"/>
          <w:sz w:val="24"/>
          <w:szCs w:val="24"/>
        </w:rPr>
      </w:pPr>
    </w:p>
    <w:p w:rsidR="009A524B" w:rsidRPr="00CE3AFE" w:rsidRDefault="00312A97" w:rsidP="009A524B">
      <w:pPr>
        <w:pStyle w:val="Default"/>
        <w:numPr>
          <w:ilvl w:val="0"/>
          <w:numId w:val="1"/>
        </w:numPr>
        <w:ind w:left="284" w:hanging="284"/>
        <w:rPr>
          <w:rFonts w:ascii="Arial Narrow" w:hAnsi="Arial Narrow" w:cs="Helvetica"/>
          <w:b/>
          <w:bCs/>
        </w:rPr>
      </w:pPr>
      <w:r w:rsidRPr="00CE3AFE">
        <w:rPr>
          <w:rFonts w:ascii="Arial Narrow" w:hAnsi="Arial Narrow" w:cs="Helvetica"/>
          <w:b/>
          <w:bCs/>
        </w:rPr>
        <w:t>A</w:t>
      </w:r>
      <w:r w:rsidR="009A524B" w:rsidRPr="00CE3AFE">
        <w:rPr>
          <w:rFonts w:ascii="Arial Narrow" w:hAnsi="Arial Narrow" w:cs="Helvetica"/>
          <w:b/>
          <w:bCs/>
        </w:rPr>
        <w:t>nálisis de las variaciones más importantes ocurridas en el mercado que participa, en la competencia que enfrenta y en su participación relativa.</w:t>
      </w:r>
    </w:p>
    <w:p w:rsidR="009A524B" w:rsidRPr="00CE3AFE" w:rsidRDefault="009A524B" w:rsidP="00312A97">
      <w:pPr>
        <w:autoSpaceDE w:val="0"/>
        <w:autoSpaceDN w:val="0"/>
        <w:adjustRightInd w:val="0"/>
        <w:spacing w:after="0" w:line="240" w:lineRule="auto"/>
        <w:rPr>
          <w:rFonts w:ascii="Arial Narrow" w:hAnsi="Arial Narrow" w:cs="Times New Roman"/>
          <w:sz w:val="20"/>
          <w:szCs w:val="20"/>
        </w:rPr>
      </w:pPr>
    </w:p>
    <w:p w:rsidR="009A524B" w:rsidRDefault="009A524B" w:rsidP="009A524B">
      <w:pPr>
        <w:autoSpaceDE w:val="0"/>
        <w:autoSpaceDN w:val="0"/>
        <w:adjustRightInd w:val="0"/>
        <w:spacing w:after="0" w:line="240" w:lineRule="auto"/>
        <w:jc w:val="both"/>
        <w:rPr>
          <w:rFonts w:ascii="Arial Narrow" w:hAnsi="Arial Narrow" w:cs="Helvetica"/>
          <w:color w:val="000000"/>
        </w:rPr>
      </w:pPr>
    </w:p>
    <w:p w:rsidR="00CE3AFE" w:rsidRDefault="00CE3AFE" w:rsidP="009A524B">
      <w:pPr>
        <w:autoSpaceDE w:val="0"/>
        <w:autoSpaceDN w:val="0"/>
        <w:adjustRightInd w:val="0"/>
        <w:spacing w:after="0" w:line="240" w:lineRule="auto"/>
        <w:jc w:val="both"/>
        <w:rPr>
          <w:rFonts w:ascii="Arial Narrow" w:hAnsi="Arial Narrow" w:cs="Helvetica"/>
          <w:color w:val="000000"/>
        </w:rPr>
      </w:pPr>
    </w:p>
    <w:p w:rsidR="00FC34BC" w:rsidRDefault="00CE3AFE" w:rsidP="00CE3AFE">
      <w:pPr>
        <w:jc w:val="both"/>
        <w:rPr>
          <w:rFonts w:ascii="Arial Narrow" w:hAnsi="Arial Narrow" w:cs="Helvetica"/>
          <w:color w:val="000000"/>
        </w:rPr>
      </w:pPr>
      <w:r w:rsidRPr="00CE3AFE">
        <w:rPr>
          <w:rFonts w:ascii="Arial Narrow" w:hAnsi="Arial Narrow" w:cs="Helvetica"/>
          <w:color w:val="000000"/>
        </w:rPr>
        <w:t xml:space="preserve">No hay antecedentes disponibles del mercado </w:t>
      </w:r>
      <w:r w:rsidR="00FC34BC">
        <w:rPr>
          <w:rFonts w:ascii="Arial Narrow" w:hAnsi="Arial Narrow" w:cs="Helvetica"/>
          <w:color w:val="000000"/>
        </w:rPr>
        <w:t>televisivo en la octava región. Sin embargo, la última Encuesta Nacional de Televisión del año 2017 señala que las regiones del sur tienen una evaluación de su televisión regional más alta que el resto de las zonas geográficas. Además, se expresa que la información y los programas de noticias de los canales regionales y locales son muy bien evaluados por la audiencia.</w:t>
      </w:r>
    </w:p>
    <w:p w:rsidR="00FC34BC" w:rsidRDefault="00FC34BC" w:rsidP="00CE3AFE">
      <w:pPr>
        <w:jc w:val="both"/>
        <w:rPr>
          <w:rFonts w:ascii="Arial Narrow" w:hAnsi="Arial Narrow" w:cs="Helvetica"/>
          <w:color w:val="000000"/>
        </w:rPr>
      </w:pPr>
      <w:r w:rsidRPr="00FC34BC">
        <w:rPr>
          <w:rFonts w:ascii="Arial Narrow" w:hAnsi="Arial Narrow" w:cs="Helvetica"/>
          <w:noProof/>
          <w:color w:val="000000"/>
          <w:lang w:eastAsia="es-CL"/>
        </w:rPr>
        <w:lastRenderedPageBreak/>
        <w:drawing>
          <wp:inline distT="0" distB="0" distL="0" distR="0">
            <wp:extent cx="5819775" cy="3903980"/>
            <wp:effectExtent l="0" t="0" r="9525" b="127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820443" cy="3904428"/>
                    </a:xfrm>
                    <a:prstGeom prst="rect">
                      <a:avLst/>
                    </a:prstGeom>
                    <a:noFill/>
                    <a:ln>
                      <a:noFill/>
                    </a:ln>
                  </pic:spPr>
                </pic:pic>
              </a:graphicData>
            </a:graphic>
          </wp:inline>
        </w:drawing>
      </w:r>
    </w:p>
    <w:p w:rsidR="00FC34BC" w:rsidRDefault="00FC34BC" w:rsidP="00CE3AFE">
      <w:pPr>
        <w:jc w:val="both"/>
        <w:rPr>
          <w:rFonts w:ascii="Arial Narrow" w:hAnsi="Arial Narrow" w:cs="Helvetica"/>
          <w:color w:val="000000"/>
        </w:rPr>
      </w:pPr>
      <w:r w:rsidRPr="00FC34BC">
        <w:rPr>
          <w:rFonts w:ascii="Arial Narrow" w:hAnsi="Arial Narrow" w:cs="Helvetica"/>
          <w:noProof/>
          <w:color w:val="000000"/>
          <w:lang w:eastAsia="es-CL"/>
        </w:rPr>
        <w:drawing>
          <wp:inline distT="0" distB="0" distL="0" distR="0">
            <wp:extent cx="5612130" cy="538047"/>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612130" cy="538047"/>
                    </a:xfrm>
                    <a:prstGeom prst="rect">
                      <a:avLst/>
                    </a:prstGeom>
                    <a:noFill/>
                    <a:ln>
                      <a:noFill/>
                    </a:ln>
                  </pic:spPr>
                </pic:pic>
              </a:graphicData>
            </a:graphic>
          </wp:inline>
        </w:drawing>
      </w:r>
    </w:p>
    <w:p w:rsidR="00CE3AFE" w:rsidRPr="00CE3AFE" w:rsidRDefault="00CE3AFE" w:rsidP="00CE3AFE">
      <w:pPr>
        <w:jc w:val="both"/>
        <w:rPr>
          <w:rFonts w:ascii="Arial Narrow" w:hAnsi="Arial Narrow" w:cs="Helvetica"/>
          <w:color w:val="000000"/>
        </w:rPr>
      </w:pPr>
      <w:r w:rsidRPr="00CE3AFE">
        <w:rPr>
          <w:rFonts w:ascii="Arial Narrow" w:hAnsi="Arial Narrow" w:cs="Helvetica"/>
          <w:color w:val="000000"/>
        </w:rPr>
        <w:t>Estos son aspectos positivos tendientes a mantenerse en el mercado, pero claramente la condición de la entidad debe ser considerado analizando que forma parte de un grupo de empresas que participa del mercado de las comunicaciones.</w:t>
      </w:r>
    </w:p>
    <w:p w:rsidR="00CE3AFE" w:rsidRPr="00CE3AFE" w:rsidRDefault="00CE3AFE" w:rsidP="00CE3AFE">
      <w:pPr>
        <w:jc w:val="both"/>
        <w:rPr>
          <w:rFonts w:ascii="Arial Narrow" w:hAnsi="Arial Narrow" w:cs="Helvetica"/>
          <w:color w:val="000000"/>
        </w:rPr>
        <w:sectPr w:rsidR="00CE3AFE" w:rsidRPr="00CE3AFE" w:rsidSect="002C638E">
          <w:type w:val="continuous"/>
          <w:pgSz w:w="12240" w:h="15840"/>
          <w:pgMar w:top="1417" w:right="1701" w:bottom="1417" w:left="1701" w:header="708" w:footer="708" w:gutter="0"/>
          <w:cols w:space="708"/>
          <w:docGrid w:linePitch="360"/>
        </w:sectPr>
      </w:pPr>
    </w:p>
    <w:p w:rsidR="002C638E" w:rsidRDefault="002C638E" w:rsidP="002C638E">
      <w:pPr>
        <w:widowControl w:val="0"/>
        <w:suppressAutoHyphens/>
        <w:spacing w:after="0" w:line="240" w:lineRule="auto"/>
        <w:jc w:val="center"/>
        <w:rPr>
          <w:rFonts w:ascii="Helvetica" w:eastAsia="Times New Roman" w:hAnsi="Helvetica" w:cs="Helvetica"/>
          <w:sz w:val="24"/>
          <w:szCs w:val="24"/>
          <w:lang w:eastAsia="ar-SA"/>
        </w:rPr>
      </w:pPr>
    </w:p>
    <w:p w:rsidR="002C638E" w:rsidRDefault="002C638E" w:rsidP="002C638E">
      <w:pPr>
        <w:widowControl w:val="0"/>
        <w:suppressAutoHyphens/>
        <w:spacing w:after="0" w:line="240" w:lineRule="auto"/>
        <w:jc w:val="center"/>
        <w:rPr>
          <w:rFonts w:ascii="Helvetica" w:eastAsia="Times New Roman" w:hAnsi="Helvetica" w:cs="Helvetica"/>
          <w:sz w:val="24"/>
          <w:szCs w:val="24"/>
          <w:lang w:eastAsia="ar-SA"/>
        </w:rPr>
        <w:sectPr w:rsidR="002C638E" w:rsidSect="002C638E">
          <w:type w:val="continuous"/>
          <w:pgSz w:w="12240" w:h="15840"/>
          <w:pgMar w:top="1417" w:right="1701" w:bottom="1417" w:left="1701" w:header="708" w:footer="708" w:gutter="0"/>
          <w:cols w:space="708"/>
          <w:docGrid w:linePitch="360"/>
        </w:sectPr>
      </w:pPr>
    </w:p>
    <w:p w:rsidR="00B87534" w:rsidRDefault="00B87534" w:rsidP="00175BBC">
      <w:pPr>
        <w:pStyle w:val="Default"/>
        <w:rPr>
          <w:rFonts w:ascii="Helvetica" w:hAnsi="Helvetica" w:cs="Helvetica"/>
          <w:b/>
          <w:bCs/>
        </w:rPr>
      </w:pPr>
    </w:p>
    <w:p w:rsidR="00CE3AFE" w:rsidRDefault="00CE3AFE">
      <w:pPr>
        <w:rPr>
          <w:rFonts w:ascii="Arial Narrow" w:hAnsi="Arial Narrow" w:cs="Helvetica"/>
          <w:b/>
          <w:bCs/>
          <w:color w:val="000000"/>
          <w:sz w:val="24"/>
          <w:szCs w:val="24"/>
        </w:rPr>
      </w:pPr>
      <w:r>
        <w:rPr>
          <w:rFonts w:ascii="Arial Narrow" w:hAnsi="Arial Narrow" w:cs="Helvetica"/>
          <w:b/>
          <w:bCs/>
        </w:rPr>
        <w:lastRenderedPageBreak/>
        <w:br w:type="page"/>
      </w:r>
    </w:p>
    <w:p w:rsidR="00813D09" w:rsidRDefault="00813D09" w:rsidP="00813D09">
      <w:pPr>
        <w:pStyle w:val="Default"/>
        <w:ind w:left="284"/>
        <w:jc w:val="center"/>
        <w:rPr>
          <w:rFonts w:ascii="Arial Narrow" w:hAnsi="Arial Narrow" w:cs="Helvetica"/>
          <w:b/>
          <w:bCs/>
        </w:rPr>
      </w:pPr>
    </w:p>
    <w:p w:rsidR="00813D09" w:rsidRDefault="00813D09" w:rsidP="00813D09">
      <w:pPr>
        <w:pStyle w:val="Default"/>
        <w:ind w:left="284"/>
        <w:rPr>
          <w:rFonts w:ascii="Arial Narrow" w:hAnsi="Arial Narrow" w:cs="Helvetica"/>
          <w:b/>
          <w:bCs/>
        </w:rPr>
      </w:pPr>
    </w:p>
    <w:p w:rsidR="002C638E" w:rsidRPr="00CE3AFE" w:rsidRDefault="00175BBC" w:rsidP="009B7D03">
      <w:pPr>
        <w:pStyle w:val="Default"/>
        <w:numPr>
          <w:ilvl w:val="0"/>
          <w:numId w:val="1"/>
        </w:numPr>
        <w:ind w:left="284" w:hanging="284"/>
        <w:rPr>
          <w:rFonts w:ascii="Arial Narrow" w:hAnsi="Arial Narrow" w:cs="Helvetica"/>
          <w:b/>
          <w:bCs/>
        </w:rPr>
      </w:pPr>
      <w:r w:rsidRPr="00CE3AFE">
        <w:rPr>
          <w:rFonts w:ascii="Arial Narrow" w:hAnsi="Arial Narrow" w:cs="Helvetica"/>
          <w:b/>
          <w:bCs/>
        </w:rPr>
        <w:t>Principales Riesgos Asociados a la Actividad de la compañía</w:t>
      </w:r>
    </w:p>
    <w:p w:rsidR="00175BBC" w:rsidRPr="00CE3AFE" w:rsidRDefault="00175BBC" w:rsidP="002C638E">
      <w:pPr>
        <w:widowControl w:val="0"/>
        <w:suppressAutoHyphens/>
        <w:spacing w:after="0" w:line="240" w:lineRule="auto"/>
        <w:jc w:val="both"/>
        <w:rPr>
          <w:rFonts w:ascii="Arial Narrow" w:eastAsia="Times New Roman" w:hAnsi="Arial Narrow" w:cs="Helvetica"/>
          <w:sz w:val="24"/>
          <w:szCs w:val="24"/>
          <w:lang w:eastAsia="ar-SA"/>
        </w:rPr>
      </w:pPr>
    </w:p>
    <w:p w:rsidR="00175BBC" w:rsidRPr="00CE3AFE" w:rsidRDefault="00175BBC" w:rsidP="00175BBC">
      <w:pPr>
        <w:autoSpaceDE w:val="0"/>
        <w:autoSpaceDN w:val="0"/>
        <w:adjustRightInd w:val="0"/>
        <w:spacing w:after="0" w:line="240" w:lineRule="auto"/>
        <w:rPr>
          <w:rFonts w:ascii="Arial Narrow" w:hAnsi="Arial Narrow" w:cs="Helvetica"/>
          <w:color w:val="000000"/>
        </w:rPr>
      </w:pPr>
      <w:r w:rsidRPr="00CE3AFE">
        <w:rPr>
          <w:rFonts w:ascii="Arial Narrow" w:hAnsi="Arial Narrow" w:cs="Helvetica"/>
          <w:b/>
          <w:bCs/>
          <w:color w:val="000000"/>
        </w:rPr>
        <w:t xml:space="preserve">Riesgo de Crédito </w:t>
      </w:r>
    </w:p>
    <w:p w:rsidR="00175BBC" w:rsidRPr="00CE3AFE" w:rsidRDefault="00175BBC" w:rsidP="00175BBC">
      <w:pPr>
        <w:autoSpaceDE w:val="0"/>
        <w:autoSpaceDN w:val="0"/>
        <w:adjustRightInd w:val="0"/>
        <w:spacing w:after="0" w:line="240" w:lineRule="auto"/>
        <w:jc w:val="both"/>
        <w:rPr>
          <w:rFonts w:ascii="Arial Narrow" w:hAnsi="Arial Narrow" w:cs="Helvetica"/>
          <w:color w:val="000000"/>
        </w:rPr>
      </w:pPr>
    </w:p>
    <w:p w:rsidR="00175BBC" w:rsidRPr="00CE3AFE" w:rsidRDefault="00175BBC" w:rsidP="00175BBC">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El riesgo de crédito es el riesgo de pérdida financiera que enfrenta la Sociedad si un cliente no cumple con sus obligaciones contractuales. Se origina principalmente por las cuentas por cobrar a los clientes. Dicho riesgo es bajo dado que los clientes que contratan servicios publicitarios corresponden a las principales empresas del país, en las cuales la publicidad es un ítem relevante para la promoción de sus productos, con lo cual la tasa de no pago es muy baja. Se suma a esto una política de créditos, con la cual permanentemente se está evaluando el comportamiento de los clientes y su condición financiera al momento de realizar una nueva venta. </w:t>
      </w:r>
    </w:p>
    <w:p w:rsidR="00175BBC" w:rsidRPr="00CE3AFE" w:rsidRDefault="00175BBC" w:rsidP="00175BBC">
      <w:pPr>
        <w:autoSpaceDE w:val="0"/>
        <w:autoSpaceDN w:val="0"/>
        <w:adjustRightInd w:val="0"/>
        <w:spacing w:after="0" w:line="240" w:lineRule="auto"/>
        <w:rPr>
          <w:rFonts w:ascii="Arial Narrow" w:hAnsi="Arial Narrow" w:cs="Helvetica"/>
          <w:color w:val="000000"/>
        </w:rPr>
      </w:pPr>
    </w:p>
    <w:p w:rsidR="00175BBC" w:rsidRPr="00CE3AFE" w:rsidRDefault="00175BBC" w:rsidP="00175BBC">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La Sociedad no toma seguros de crédito para administrar el riesgo de incobrabilidad de sus clientes. </w:t>
      </w:r>
    </w:p>
    <w:p w:rsidR="00175BBC" w:rsidRPr="00CE3AFE" w:rsidRDefault="00175BBC" w:rsidP="00175BBC">
      <w:pPr>
        <w:autoSpaceDE w:val="0"/>
        <w:autoSpaceDN w:val="0"/>
        <w:adjustRightInd w:val="0"/>
        <w:spacing w:after="0" w:line="240" w:lineRule="auto"/>
        <w:rPr>
          <w:rFonts w:ascii="Arial Narrow" w:hAnsi="Arial Narrow" w:cs="Helvetica"/>
          <w:color w:val="000000"/>
        </w:rPr>
      </w:pPr>
    </w:p>
    <w:p w:rsidR="00175BBC" w:rsidRPr="00CE3AFE" w:rsidRDefault="00175BBC" w:rsidP="00836C87">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Para el caso de otros activos financieros tales como efectivo y equivalente a efectivo, la Sociedad trabaja con bancos de alto prestigio de la plaza. </w:t>
      </w:r>
    </w:p>
    <w:p w:rsidR="00175BBC" w:rsidRPr="00CE3AFE" w:rsidRDefault="00175BBC" w:rsidP="00175BBC">
      <w:pPr>
        <w:autoSpaceDE w:val="0"/>
        <w:autoSpaceDN w:val="0"/>
        <w:adjustRightInd w:val="0"/>
        <w:spacing w:after="0" w:line="240" w:lineRule="auto"/>
        <w:rPr>
          <w:rFonts w:ascii="Arial Narrow" w:hAnsi="Arial Narrow" w:cs="Helvetica"/>
          <w:color w:val="000000"/>
        </w:rPr>
      </w:pPr>
    </w:p>
    <w:p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 xml:space="preserve">Riesgo de Liquidez </w:t>
      </w: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El riesgo de liquidez se encuentra presente en la capacidad de responder a los compromisos y obligaciones con terceros. Los recursos necesarios para cumplir con dichos compromisos provienen de la actividad comercial y los excedentes de caja. </w:t>
      </w: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La política de liquidez que mantiene la Sociedad consiste en gestionar eficientemente el capital de trabajo, sin </w:t>
      </w:r>
      <w:r w:rsidR="007811B7" w:rsidRPr="00CE3AFE">
        <w:rPr>
          <w:rFonts w:ascii="Arial Narrow" w:hAnsi="Arial Narrow" w:cs="Helvetica"/>
          <w:color w:val="000000"/>
        </w:rPr>
        <w:t>embargo,</w:t>
      </w:r>
      <w:r w:rsidRPr="00CE3AFE">
        <w:rPr>
          <w:rFonts w:ascii="Arial Narrow" w:hAnsi="Arial Narrow" w:cs="Helvetica"/>
          <w:color w:val="000000"/>
        </w:rPr>
        <w:t xml:space="preserve"> no ha podido obtener utilidades y con ello excedentes de caja, por lo cual en dicho caso recurre a las empresas del Grupo, específicame</w:t>
      </w:r>
      <w:r w:rsidR="007811B7">
        <w:rPr>
          <w:rFonts w:ascii="Arial Narrow" w:hAnsi="Arial Narrow" w:cs="Helvetica"/>
          <w:color w:val="000000"/>
        </w:rPr>
        <w:t>nte Trongol Ltda.</w:t>
      </w: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La Sociedad administra sus compromisos con flujos de caja que revisa semanalmente, para poder administrar los pagos y déficit de capital de trabajo. </w:t>
      </w: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lastRenderedPageBreak/>
        <w:t xml:space="preserve">Riesgo de Tipo de Cambio </w:t>
      </w: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El riesgo de tipo de cambio es aquel relacionado a exposiciones en monedas distintas a la moneda funcional. La Sociedad no tiene activos y pasivos en moneda extranjera, así que no enfrenta este riesgo.</w:t>
      </w:r>
    </w:p>
    <w:p w:rsidR="00CE3AFE" w:rsidRDefault="00CE3AFE" w:rsidP="00CE3AFE">
      <w:pPr>
        <w:autoSpaceDE w:val="0"/>
        <w:autoSpaceDN w:val="0"/>
        <w:adjustRightInd w:val="0"/>
        <w:spacing w:after="0" w:line="240" w:lineRule="auto"/>
        <w:rPr>
          <w:rFonts w:ascii="Helvetica" w:hAnsi="Helvetica" w:cs="Helvetica"/>
          <w:color w:val="000000"/>
        </w:rPr>
      </w:pPr>
    </w:p>
    <w:p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 xml:space="preserve">Riesgo de Tasa de Interés </w:t>
      </w: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El riesgo de tasa de interés corresponde a la exposición de la Sociedad a tasa variable dependiendo del ciclo económico de la Sociedad y del costo de intercambiar la tasa en un período determinado de tiempo. </w:t>
      </w: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La compañía no presenta endeudamiento con terceros, dada su situación de déficit patrimonial el financiamiento provisto por las compañías relacionadas, son intereses, situación que espera resolverse en el corto plazo. No se han cobrado intereses para evitar objeciones tributarias.</w:t>
      </w:r>
    </w:p>
    <w:p w:rsidR="00813D09" w:rsidRPr="00CE3AFE" w:rsidRDefault="00813D09" w:rsidP="00813D09">
      <w:pPr>
        <w:widowControl w:val="0"/>
        <w:suppressAutoHyphens/>
        <w:spacing w:after="0" w:line="240" w:lineRule="auto"/>
        <w:jc w:val="center"/>
        <w:rPr>
          <w:rFonts w:ascii="Arial Narrow" w:eastAsia="Times New Roman" w:hAnsi="Arial Narrow" w:cs="Helvetica"/>
          <w:sz w:val="24"/>
          <w:szCs w:val="24"/>
          <w:lang w:eastAsia="ar-SA"/>
        </w:rPr>
        <w:sectPr w:rsidR="00813D09" w:rsidRPr="00CE3AFE" w:rsidSect="002C638E">
          <w:type w:val="continuous"/>
          <w:pgSz w:w="12240" w:h="15840"/>
          <w:pgMar w:top="1417" w:right="1701" w:bottom="1417" w:left="1701" w:header="708" w:footer="708" w:gutter="0"/>
          <w:cols w:space="708"/>
          <w:docGrid w:linePitch="360"/>
        </w:sectPr>
      </w:pPr>
    </w:p>
    <w:p w:rsidR="00813D09" w:rsidRPr="00CE3AFE" w:rsidRDefault="00813D09" w:rsidP="00813D09">
      <w:pPr>
        <w:autoSpaceDE w:val="0"/>
        <w:autoSpaceDN w:val="0"/>
        <w:adjustRightInd w:val="0"/>
        <w:spacing w:after="0" w:line="240" w:lineRule="auto"/>
        <w:rPr>
          <w:rFonts w:ascii="Arial Narrow" w:hAnsi="Arial Narrow" w:cs="Helvetica"/>
          <w:color w:val="000000"/>
        </w:rPr>
      </w:pPr>
    </w:p>
    <w:p w:rsidR="00813D09" w:rsidRDefault="00813D09">
      <w:pPr>
        <w:rPr>
          <w:rFonts w:ascii="Arial Narrow" w:hAnsi="Arial Narrow" w:cs="Helvetica"/>
          <w:b/>
          <w:bCs/>
          <w:color w:val="000000"/>
        </w:rPr>
      </w:pPr>
      <w:r>
        <w:rPr>
          <w:rFonts w:ascii="Arial Narrow" w:hAnsi="Arial Narrow" w:cs="Helvetica"/>
          <w:b/>
          <w:bCs/>
          <w:color w:val="000000"/>
        </w:rPr>
        <w:br w:type="page"/>
      </w:r>
    </w:p>
    <w:p w:rsidR="00813D09" w:rsidRDefault="00813D09" w:rsidP="00813D09">
      <w:pPr>
        <w:autoSpaceDE w:val="0"/>
        <w:autoSpaceDN w:val="0"/>
        <w:adjustRightInd w:val="0"/>
        <w:spacing w:after="0" w:line="240" w:lineRule="auto"/>
        <w:jc w:val="center"/>
        <w:rPr>
          <w:rFonts w:ascii="Arial Narrow" w:hAnsi="Arial Narrow" w:cs="Helvetica"/>
          <w:b/>
          <w:bCs/>
          <w:color w:val="000000"/>
        </w:rPr>
      </w:pPr>
    </w:p>
    <w:p w:rsidR="00813D09" w:rsidRDefault="00813D09" w:rsidP="00813D09">
      <w:pPr>
        <w:autoSpaceDE w:val="0"/>
        <w:autoSpaceDN w:val="0"/>
        <w:adjustRightInd w:val="0"/>
        <w:spacing w:after="0" w:line="240" w:lineRule="auto"/>
        <w:rPr>
          <w:rFonts w:ascii="Arial Narrow" w:hAnsi="Arial Narrow" w:cs="Helvetica"/>
          <w:b/>
          <w:bCs/>
          <w:color w:val="000000"/>
        </w:rPr>
      </w:pPr>
    </w:p>
    <w:p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 xml:space="preserve">Riesgo de Inflación </w:t>
      </w:r>
    </w:p>
    <w:p w:rsidR="00813D09" w:rsidRPr="00CE3AFE" w:rsidRDefault="00813D09" w:rsidP="00813D09">
      <w:pPr>
        <w:autoSpaceDE w:val="0"/>
        <w:autoSpaceDN w:val="0"/>
        <w:adjustRightInd w:val="0"/>
        <w:spacing w:after="0" w:line="240" w:lineRule="auto"/>
        <w:rPr>
          <w:rFonts w:ascii="Arial Narrow" w:hAnsi="Arial Narrow" w:cs="Helvetica"/>
          <w:b/>
          <w:bCs/>
          <w:color w:val="000000"/>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El riesgo de inflación es aquel relacionado a un incremento en el índice de precios al consumidor e indicadores relacionados (UF) a los cuales la Sociedad está expuesta. </w:t>
      </w: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rsidR="00CE3AFE" w:rsidRPr="00813D09"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La compañía no presenta riesgo de este tipo, ya que no tiene endeudamiento financiero, ni operacional pactado en UF u otras formas de reajustabilidad.</w:t>
      </w:r>
    </w:p>
    <w:p w:rsidR="00CE3AFE" w:rsidRDefault="00CE3AFE" w:rsidP="00CE3AFE">
      <w:pPr>
        <w:widowControl w:val="0"/>
        <w:suppressAutoHyphens/>
        <w:spacing w:after="0" w:line="240" w:lineRule="auto"/>
        <w:jc w:val="center"/>
        <w:rPr>
          <w:rFonts w:ascii="Helvetica" w:eastAsia="Times New Roman" w:hAnsi="Helvetica" w:cs="Helvetica"/>
          <w:sz w:val="24"/>
          <w:szCs w:val="24"/>
          <w:lang w:eastAsia="ar-SA"/>
        </w:rPr>
        <w:sectPr w:rsidR="00CE3AFE" w:rsidSect="002C638E">
          <w:type w:val="continuous"/>
          <w:pgSz w:w="12240" w:h="15840"/>
          <w:pgMar w:top="1417" w:right="1701" w:bottom="1417" w:left="1701" w:header="708" w:footer="708" w:gutter="0"/>
          <w:cols w:space="708"/>
          <w:docGrid w:linePitch="360"/>
        </w:sectPr>
      </w:pPr>
    </w:p>
    <w:p w:rsidR="009B7D03" w:rsidRPr="00CE3AFE" w:rsidRDefault="009B7D03" w:rsidP="009B7D03">
      <w:pPr>
        <w:autoSpaceDE w:val="0"/>
        <w:autoSpaceDN w:val="0"/>
        <w:adjustRightInd w:val="0"/>
        <w:spacing w:after="0" w:line="240" w:lineRule="auto"/>
        <w:jc w:val="center"/>
        <w:rPr>
          <w:rFonts w:ascii="Arial Narrow" w:hAnsi="Arial Narrow" w:cs="Helvetica"/>
          <w:b/>
          <w:bCs/>
          <w:color w:val="000000"/>
        </w:rPr>
      </w:pPr>
    </w:p>
    <w:p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 xml:space="preserve">Riesgos Asociados a Ciclos Económicos </w:t>
      </w:r>
    </w:p>
    <w:p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La actividad de la industria publicitaria está correlacionada con los ciclos económicos del país. La inversión publicitaria que los avisadores –empresas comercializadoras de productos y servicios que requieren publicitar su oferta– destinan anualmente a estos fines, depende en gran medida del nivel de actividad en sus negocios. Éste, a su vez, en la mayoría de los casos depende de la situación general de la economía, y entre otros, de la evolución del consumo y el empleo. Por ello, al igual que cualquier compañía en el sector, el resultado financiero futuro de la Compañía estará sujeto al ciclo económico que se desarrolle en el país. No obstante, cabe destacar que históricamente los ingresos de la televisión abierta presentan menor sensibilidad respecto de variaciones en el ciclo económico que otros medios de comunicación.</w:t>
      </w:r>
    </w:p>
    <w:p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La inversión publicitaria es de carácter estacional siguiendo el patrón de consumo de televisión de parte de las audiencias, el que es menor durante los meses de vacaciones y fiestas patrias</w:t>
      </w:r>
      <w:r>
        <w:rPr>
          <w:rFonts w:ascii="Arial Narrow" w:hAnsi="Arial Narrow" w:cs="Helvetica"/>
          <w:color w:val="000000"/>
        </w:rPr>
        <w:t>, además de las épocas de elecciones políticas</w:t>
      </w:r>
      <w:r w:rsidRPr="00CE3AFE">
        <w:rPr>
          <w:rFonts w:ascii="Arial Narrow" w:hAnsi="Arial Narrow" w:cs="Helvetica"/>
          <w:color w:val="000000"/>
        </w:rPr>
        <w:t xml:space="preserve">. Dado lo anterior, una contracción de la inversión en publicidad durante meses de mayor actividad, podría afectar desproporcionalmente los resultados financieros de la Compañía de un determinado período anual. </w:t>
      </w: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Otros riesgos</w:t>
      </w:r>
    </w:p>
    <w:p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Competencia: El mercado de la televisión abierta se caracteriza por un alto nivel de competencia, lo que obliga a los equipos de realización y programación a presentar una oferta televisiva, que permita lograr el mayor interés y convocatoria en la audiencia.</w:t>
      </w:r>
    </w:p>
    <w:p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lastRenderedPageBreak/>
        <w:t>El talento creativo, la formación de equipos de realización del más alto nivel y una adecuada gestión programática, llegan a ser fundamentales para lograr el mejor posicionamiento de los productos televisivos y también de la competencia. En ausencia de lo anterior, los resultados financieros y económicos pueden verse afectados importantemente.</w:t>
      </w:r>
    </w:p>
    <w:p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El riesgo comercial, asociado al rating o la audiencia, el riesgo de pérdida de personal clave y el relativo a la imagen corporativa, en este caso, vinculado a la situación de las empresas relacionadas es un riesgo que afecta a la compañía, especialmente en el mercado regional, de la séptima a novena región.</w:t>
      </w:r>
    </w:p>
    <w:p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rsidR="00813D09"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Tampoco es posible de dejar de mencionar que la compañía enfrenta permanentemente un riesgo del marco regulatorio en que desarrolla sus actividades. Los canales de televisión abierta operan a través de una banda de radiofrecuencia, definido como un servicio público regulado. El uso de esta banda está </w:t>
      </w:r>
      <w:r w:rsidR="007811B7" w:rsidRPr="00CE3AFE">
        <w:rPr>
          <w:rFonts w:ascii="Arial Narrow" w:hAnsi="Arial Narrow" w:cs="Helvetica"/>
          <w:color w:val="000000"/>
        </w:rPr>
        <w:t>regulado</w:t>
      </w:r>
      <w:r w:rsidRPr="00CE3AFE">
        <w:rPr>
          <w:rFonts w:ascii="Arial Narrow" w:hAnsi="Arial Narrow" w:cs="Helvetica"/>
          <w:color w:val="000000"/>
        </w:rPr>
        <w:t xml:space="preserve"> por autoridades públicas como el CNTV (Consejo Nacional de Televisión) o la Subtel (Subsecretaría de Telecomunicaciones) a través del otorgamiento de concesiones o permisos, y su utilización se encuentra reglamentada a través de diversa normativa técnica. </w:t>
      </w:r>
    </w:p>
    <w:p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rsidR="00836C87" w:rsidRPr="00813D09"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Asimismo, y de la misma forma que cualquier actividad empresarial en el país, la Compañía está expuesta a riesgos legales de carácter contractual, laboral, comercial, entre otros.</w:t>
      </w:r>
    </w:p>
    <w:p w:rsidR="00836C87" w:rsidRPr="00CE3AFE" w:rsidRDefault="00836C87" w:rsidP="00B87534">
      <w:pPr>
        <w:autoSpaceDE w:val="0"/>
        <w:autoSpaceDN w:val="0"/>
        <w:adjustRightInd w:val="0"/>
        <w:spacing w:after="0" w:line="240" w:lineRule="auto"/>
        <w:rPr>
          <w:rFonts w:ascii="Arial Narrow" w:hAnsi="Arial Narrow" w:cs="Helvetica"/>
          <w:b/>
          <w:bCs/>
          <w:color w:val="000000"/>
        </w:rPr>
      </w:pPr>
    </w:p>
    <w:p w:rsidR="00B87534" w:rsidRPr="00CE3AFE" w:rsidRDefault="00B87534" w:rsidP="00B87534">
      <w:pPr>
        <w:widowControl w:val="0"/>
        <w:suppressAutoHyphens/>
        <w:spacing w:after="0" w:line="240" w:lineRule="auto"/>
        <w:jc w:val="center"/>
        <w:rPr>
          <w:rFonts w:ascii="Arial Narrow" w:eastAsia="Times New Roman" w:hAnsi="Arial Narrow" w:cs="Helvetica"/>
          <w:sz w:val="24"/>
          <w:szCs w:val="24"/>
          <w:lang w:eastAsia="ar-SA"/>
        </w:rPr>
      </w:pPr>
    </w:p>
    <w:p w:rsidR="00B87534" w:rsidRPr="00CE3AFE" w:rsidRDefault="00B87534" w:rsidP="00B87534">
      <w:pPr>
        <w:widowControl w:val="0"/>
        <w:suppressAutoHyphens/>
        <w:spacing w:after="0" w:line="240" w:lineRule="auto"/>
        <w:jc w:val="center"/>
        <w:rPr>
          <w:rFonts w:ascii="Arial Narrow" w:eastAsia="Times New Roman" w:hAnsi="Arial Narrow" w:cs="Helvetica"/>
          <w:sz w:val="24"/>
          <w:szCs w:val="24"/>
          <w:lang w:eastAsia="ar-SA"/>
        </w:rPr>
        <w:sectPr w:rsidR="00B87534" w:rsidRPr="00CE3AFE" w:rsidSect="002C638E">
          <w:type w:val="continuous"/>
          <w:pgSz w:w="12240" w:h="15840"/>
          <w:pgMar w:top="1417" w:right="1701" w:bottom="1417" w:left="1701" w:header="708" w:footer="708" w:gutter="0"/>
          <w:cols w:space="708"/>
          <w:docGrid w:linePitch="360"/>
        </w:sectPr>
      </w:pPr>
    </w:p>
    <w:p w:rsidR="00B87534" w:rsidRPr="00CE3AFE" w:rsidRDefault="00B87534" w:rsidP="002C638E">
      <w:pPr>
        <w:pStyle w:val="Default"/>
        <w:rPr>
          <w:rFonts w:ascii="Arial Narrow" w:hAnsi="Arial Narrow" w:cs="Helvetica"/>
          <w:b/>
          <w:bCs/>
        </w:rPr>
      </w:pPr>
    </w:p>
    <w:p w:rsidR="002C638E" w:rsidRPr="00CE3AFE" w:rsidRDefault="002C638E" w:rsidP="009B7D03">
      <w:pPr>
        <w:pStyle w:val="Default"/>
        <w:numPr>
          <w:ilvl w:val="0"/>
          <w:numId w:val="1"/>
        </w:numPr>
        <w:ind w:left="284" w:hanging="284"/>
        <w:rPr>
          <w:rFonts w:ascii="Arial Narrow" w:hAnsi="Arial Narrow" w:cs="Helvetica"/>
          <w:b/>
          <w:bCs/>
        </w:rPr>
      </w:pPr>
      <w:r w:rsidRPr="00CE3AFE">
        <w:rPr>
          <w:rFonts w:ascii="Arial Narrow" w:hAnsi="Arial Narrow" w:cs="Helvetica"/>
          <w:b/>
          <w:bCs/>
        </w:rPr>
        <w:t xml:space="preserve">Valor Libro y Valor Económico de los Activos </w:t>
      </w:r>
    </w:p>
    <w:p w:rsidR="009B7D03" w:rsidRPr="00CE3AFE" w:rsidRDefault="009B7D03" w:rsidP="002C638E">
      <w:pPr>
        <w:pStyle w:val="Default"/>
        <w:rPr>
          <w:rFonts w:ascii="Arial Narrow" w:hAnsi="Arial Narrow" w:cs="Helvetica"/>
          <w:sz w:val="22"/>
          <w:szCs w:val="22"/>
        </w:rPr>
      </w:pPr>
    </w:p>
    <w:p w:rsidR="002C638E" w:rsidRPr="00CE3AFE" w:rsidRDefault="002C638E" w:rsidP="002C638E">
      <w:pPr>
        <w:pStyle w:val="Default"/>
        <w:rPr>
          <w:rFonts w:ascii="Arial Narrow" w:hAnsi="Arial Narrow" w:cs="Helvetica"/>
          <w:sz w:val="22"/>
          <w:szCs w:val="22"/>
        </w:rPr>
      </w:pPr>
      <w:r w:rsidRPr="00CE3AFE">
        <w:rPr>
          <w:rFonts w:ascii="Arial Narrow" w:hAnsi="Arial Narrow" w:cs="Helvetica"/>
          <w:sz w:val="22"/>
          <w:szCs w:val="22"/>
        </w:rPr>
        <w:t xml:space="preserve">Respecto de los principales activos de la Sociedad, cabe mencionar lo siguiente: </w:t>
      </w:r>
    </w:p>
    <w:p w:rsidR="002C638E" w:rsidRPr="00CE3AFE" w:rsidRDefault="002C638E" w:rsidP="002C638E">
      <w:pPr>
        <w:pStyle w:val="Default"/>
        <w:rPr>
          <w:rFonts w:ascii="Arial Narrow" w:hAnsi="Arial Narrow" w:cs="Helvetica"/>
          <w:sz w:val="22"/>
          <w:szCs w:val="22"/>
        </w:rPr>
      </w:pPr>
    </w:p>
    <w:p w:rsidR="002C638E" w:rsidRPr="00CE3AFE" w:rsidRDefault="002C638E" w:rsidP="002C638E">
      <w:pPr>
        <w:pStyle w:val="Default"/>
        <w:jc w:val="both"/>
        <w:rPr>
          <w:rFonts w:ascii="Arial Narrow" w:hAnsi="Arial Narrow" w:cs="Helvetica"/>
          <w:sz w:val="22"/>
          <w:szCs w:val="22"/>
        </w:rPr>
      </w:pPr>
      <w:r w:rsidRPr="00CE3AFE">
        <w:rPr>
          <w:rFonts w:ascii="Arial Narrow" w:hAnsi="Arial Narrow" w:cs="Helvetica"/>
          <w:sz w:val="22"/>
          <w:szCs w:val="22"/>
        </w:rPr>
        <w:t>La Sociedad evalúa anualmente el deterioro del valor de los activos</w:t>
      </w:r>
      <w:r w:rsidR="00175BBC" w:rsidRPr="00CE3AFE">
        <w:rPr>
          <w:rFonts w:ascii="Arial Narrow" w:hAnsi="Arial Narrow" w:cs="Helvetica"/>
          <w:sz w:val="22"/>
          <w:szCs w:val="22"/>
        </w:rPr>
        <w:t xml:space="preserve"> fijos</w:t>
      </w:r>
      <w:r w:rsidRPr="00CE3AFE">
        <w:rPr>
          <w:rFonts w:ascii="Arial Narrow" w:hAnsi="Arial Narrow" w:cs="Helvetica"/>
          <w:sz w:val="22"/>
          <w:szCs w:val="22"/>
        </w:rPr>
        <w:t>, conforme a la metodología establecida por la Compañía de acuerdo</w:t>
      </w:r>
      <w:r w:rsidR="00175BBC" w:rsidRPr="00CE3AFE">
        <w:rPr>
          <w:rFonts w:ascii="Arial Narrow" w:hAnsi="Arial Narrow" w:cs="Helvetica"/>
          <w:sz w:val="22"/>
          <w:szCs w:val="22"/>
        </w:rPr>
        <w:t xml:space="preserve"> con lo normado</w:t>
      </w:r>
      <w:r w:rsidRPr="00CE3AFE">
        <w:rPr>
          <w:rFonts w:ascii="Arial Narrow" w:hAnsi="Arial Narrow" w:cs="Helvetica"/>
          <w:sz w:val="22"/>
          <w:szCs w:val="22"/>
        </w:rPr>
        <w:t xml:space="preserve"> por la sección 27 de las NIIF para Pymes. </w:t>
      </w:r>
    </w:p>
    <w:p w:rsidR="00175BBC" w:rsidRPr="00CE3AFE" w:rsidRDefault="00175BBC" w:rsidP="002C638E">
      <w:pPr>
        <w:pStyle w:val="Default"/>
        <w:rPr>
          <w:rFonts w:ascii="Arial Narrow" w:hAnsi="Arial Narrow" w:cs="Helvetica"/>
          <w:sz w:val="22"/>
          <w:szCs w:val="22"/>
        </w:rPr>
      </w:pPr>
    </w:p>
    <w:p w:rsidR="002C638E" w:rsidRPr="00CE3AFE" w:rsidRDefault="002C638E" w:rsidP="002C638E">
      <w:pPr>
        <w:pStyle w:val="Default"/>
        <w:rPr>
          <w:rFonts w:ascii="Arial Narrow" w:hAnsi="Arial Narrow" w:cs="Helvetica"/>
          <w:sz w:val="22"/>
          <w:szCs w:val="22"/>
        </w:rPr>
      </w:pPr>
      <w:r w:rsidRPr="00CE3AFE">
        <w:rPr>
          <w:rFonts w:ascii="Arial Narrow" w:hAnsi="Arial Narrow" w:cs="Helvetica"/>
          <w:sz w:val="22"/>
          <w:szCs w:val="22"/>
        </w:rPr>
        <w:t xml:space="preserve">Los activos sobre los cuales aplica la metodología son los siguientes: </w:t>
      </w:r>
    </w:p>
    <w:p w:rsidR="00175BBC" w:rsidRPr="00CE3AFE" w:rsidRDefault="00175BBC" w:rsidP="002C638E">
      <w:pPr>
        <w:pStyle w:val="Default"/>
        <w:rPr>
          <w:rFonts w:ascii="Arial Narrow" w:hAnsi="Arial Narrow" w:cs="Helvetica"/>
          <w:sz w:val="22"/>
          <w:szCs w:val="22"/>
        </w:rPr>
      </w:pPr>
    </w:p>
    <w:p w:rsidR="002C638E" w:rsidRPr="00CE3AFE" w:rsidRDefault="002C638E" w:rsidP="002C638E">
      <w:pPr>
        <w:pStyle w:val="Default"/>
        <w:rPr>
          <w:rFonts w:ascii="Arial Narrow" w:hAnsi="Arial Narrow" w:cs="Helvetica"/>
          <w:sz w:val="22"/>
          <w:szCs w:val="22"/>
        </w:rPr>
      </w:pPr>
      <w:r w:rsidRPr="00CE3AFE">
        <w:rPr>
          <w:rFonts w:ascii="Arial Narrow" w:hAnsi="Arial Narrow" w:cs="Helvetica"/>
          <w:sz w:val="22"/>
          <w:szCs w:val="22"/>
        </w:rPr>
        <w:t xml:space="preserve"> Activo Fijo </w:t>
      </w:r>
      <w:r w:rsidR="00175BBC" w:rsidRPr="00CE3AFE">
        <w:rPr>
          <w:rFonts w:ascii="Arial Narrow" w:hAnsi="Arial Narrow" w:cs="Helvetica"/>
          <w:sz w:val="22"/>
          <w:szCs w:val="22"/>
        </w:rPr>
        <w:t>o propiedades, planta y equipos.</w:t>
      </w:r>
    </w:p>
    <w:p w:rsidR="002C638E" w:rsidRPr="00CE3AFE" w:rsidRDefault="002C638E" w:rsidP="002C638E">
      <w:pPr>
        <w:pStyle w:val="Default"/>
        <w:rPr>
          <w:rFonts w:ascii="Arial Narrow" w:hAnsi="Arial Narrow" w:cs="Helvetica"/>
          <w:sz w:val="22"/>
          <w:szCs w:val="22"/>
        </w:rPr>
      </w:pPr>
      <w:r w:rsidRPr="00CE3AFE">
        <w:rPr>
          <w:rFonts w:ascii="Arial Narrow" w:hAnsi="Arial Narrow" w:cs="Helvetica"/>
          <w:sz w:val="22"/>
          <w:szCs w:val="22"/>
        </w:rPr>
        <w:t xml:space="preserve"> Activos Intangibles </w:t>
      </w:r>
    </w:p>
    <w:p w:rsidR="002C638E" w:rsidRPr="00CE3AFE" w:rsidRDefault="002C638E" w:rsidP="002C638E">
      <w:pPr>
        <w:pStyle w:val="Default"/>
        <w:rPr>
          <w:rFonts w:ascii="Arial Narrow" w:hAnsi="Arial Narrow" w:cs="Helvetica"/>
          <w:sz w:val="22"/>
          <w:szCs w:val="22"/>
        </w:rPr>
      </w:pPr>
    </w:p>
    <w:p w:rsidR="002C638E" w:rsidRPr="00CE3AFE" w:rsidRDefault="002C638E" w:rsidP="00175BBC">
      <w:pPr>
        <w:pStyle w:val="Default"/>
        <w:jc w:val="both"/>
        <w:rPr>
          <w:rFonts w:ascii="Arial Narrow" w:hAnsi="Arial Narrow" w:cs="Helvetica"/>
          <w:sz w:val="22"/>
          <w:szCs w:val="22"/>
        </w:rPr>
      </w:pPr>
      <w:r w:rsidRPr="00CE3AFE">
        <w:rPr>
          <w:rFonts w:ascii="Arial Narrow" w:hAnsi="Arial Narrow" w:cs="Helvetica"/>
          <w:sz w:val="22"/>
          <w:szCs w:val="22"/>
        </w:rPr>
        <w:lastRenderedPageBreak/>
        <w:t xml:space="preserve">La evaluación de deterioro del valor de los activos se realiza a fin de verificar si existe algún indicio que el valor libro sea menor al importe recuperable. Si existe dicho indicio, el valor recuperable del activo se estima para determinar el alcance del deterioro (de haberlo). En caso que el activo no genere flujos de caja que sean independientes de otros activos, la Compañía determina el valor recuperable de la unidad generadora de efectivo a la cual pertenece el activo. </w:t>
      </w:r>
    </w:p>
    <w:p w:rsidR="00175BBC" w:rsidRPr="00CE3AFE" w:rsidRDefault="00175BBC" w:rsidP="00175BBC">
      <w:pPr>
        <w:pStyle w:val="Default"/>
        <w:jc w:val="both"/>
        <w:rPr>
          <w:rFonts w:ascii="Arial Narrow" w:hAnsi="Arial Narrow" w:cs="Helvetica"/>
          <w:sz w:val="22"/>
          <w:szCs w:val="22"/>
        </w:rPr>
      </w:pPr>
    </w:p>
    <w:p w:rsidR="00175BBC" w:rsidRPr="00CE3AFE" w:rsidRDefault="002C638E" w:rsidP="00175BBC">
      <w:pPr>
        <w:pStyle w:val="Default"/>
        <w:jc w:val="both"/>
        <w:rPr>
          <w:rFonts w:ascii="Arial Narrow" w:hAnsi="Arial Narrow" w:cs="Helvetica"/>
          <w:sz w:val="22"/>
          <w:szCs w:val="22"/>
        </w:rPr>
      </w:pPr>
      <w:r w:rsidRPr="00CE3AFE">
        <w:rPr>
          <w:rFonts w:ascii="Arial Narrow" w:hAnsi="Arial Narrow" w:cs="Helvetica"/>
          <w:sz w:val="22"/>
          <w:szCs w:val="22"/>
        </w:rPr>
        <w:t>La Sociedad somete a prueba de deterioro los activos intangibles con vida útil indefinida en forma anual y cada vez que exista un indicio que el ac</w:t>
      </w:r>
      <w:r w:rsidR="00175BBC" w:rsidRPr="00CE3AFE">
        <w:rPr>
          <w:rFonts w:ascii="Arial Narrow" w:hAnsi="Arial Narrow" w:cs="Helvetica"/>
          <w:sz w:val="22"/>
          <w:szCs w:val="22"/>
        </w:rPr>
        <w:t>tivo pueda verse deteriorado</w:t>
      </w:r>
    </w:p>
    <w:p w:rsidR="002C638E" w:rsidRPr="00CE3AFE" w:rsidRDefault="002C638E" w:rsidP="00175BBC">
      <w:pPr>
        <w:pStyle w:val="Default"/>
        <w:jc w:val="both"/>
        <w:rPr>
          <w:rFonts w:ascii="Arial Narrow" w:hAnsi="Arial Narrow" w:cs="Helvetica"/>
          <w:sz w:val="22"/>
          <w:szCs w:val="22"/>
        </w:rPr>
      </w:pPr>
      <w:r w:rsidRPr="00CE3AFE">
        <w:rPr>
          <w:rFonts w:ascii="Arial Narrow" w:hAnsi="Arial Narrow" w:cs="Helvetica"/>
          <w:sz w:val="22"/>
          <w:szCs w:val="22"/>
        </w:rPr>
        <w:t xml:space="preserve">. </w:t>
      </w:r>
    </w:p>
    <w:p w:rsidR="002C638E" w:rsidRPr="00CE3AFE" w:rsidRDefault="002C638E" w:rsidP="00175BBC">
      <w:pPr>
        <w:pStyle w:val="Default"/>
        <w:jc w:val="both"/>
        <w:rPr>
          <w:rFonts w:ascii="Arial Narrow" w:hAnsi="Arial Narrow" w:cs="Helvetica"/>
          <w:sz w:val="22"/>
          <w:szCs w:val="22"/>
        </w:rPr>
      </w:pPr>
      <w:r w:rsidRPr="00CE3AFE">
        <w:rPr>
          <w:rFonts w:ascii="Arial Narrow" w:hAnsi="Arial Narrow" w:cs="Helvetica"/>
          <w:sz w:val="22"/>
          <w:szCs w:val="22"/>
        </w:rPr>
        <w:t xml:space="preserve">El valor recuperable es el más alto entre el valor justo menos los costos de vender y el valor en uso. Para determinar el valor en uso, se calcula el valor presente de los flujos de caja futuros descontados, a una tasa asociada al activo evaluado. Si el valor recuperable de un activo se estima que es menor que su valor libro, este último </w:t>
      </w:r>
      <w:r w:rsidR="00C82D9D" w:rsidRPr="00CE3AFE">
        <w:rPr>
          <w:rFonts w:ascii="Arial Narrow" w:hAnsi="Arial Narrow" w:cs="Helvetica"/>
          <w:sz w:val="22"/>
          <w:szCs w:val="22"/>
        </w:rPr>
        <w:t>disminuye al valor recuperable.</w:t>
      </w:r>
    </w:p>
    <w:p w:rsidR="00175BBC" w:rsidRPr="00CE3AFE" w:rsidRDefault="00175BBC" w:rsidP="00175BBC">
      <w:pPr>
        <w:pStyle w:val="Default"/>
        <w:jc w:val="both"/>
        <w:rPr>
          <w:rFonts w:ascii="Arial Narrow" w:hAnsi="Arial Narrow" w:cs="Helvetica"/>
          <w:sz w:val="22"/>
          <w:szCs w:val="22"/>
        </w:rPr>
      </w:pPr>
    </w:p>
    <w:p w:rsidR="002C638E" w:rsidRPr="00CE3AFE" w:rsidRDefault="002C638E" w:rsidP="00175BBC">
      <w:pPr>
        <w:pStyle w:val="Default"/>
        <w:jc w:val="both"/>
        <w:rPr>
          <w:rFonts w:ascii="Arial Narrow" w:hAnsi="Arial Narrow" w:cs="Helvetica"/>
          <w:sz w:val="22"/>
          <w:szCs w:val="22"/>
        </w:rPr>
      </w:pPr>
      <w:r w:rsidRPr="00CE3AFE">
        <w:rPr>
          <w:rFonts w:ascii="Arial Narrow" w:hAnsi="Arial Narrow" w:cs="Helvetica"/>
          <w:sz w:val="22"/>
          <w:szCs w:val="22"/>
        </w:rPr>
        <w:t>En resumen, los activos se presentan valorizados de acuerdo a las NIIF</w:t>
      </w:r>
      <w:r w:rsidR="00175BBC" w:rsidRPr="00CE3AFE">
        <w:rPr>
          <w:rFonts w:ascii="Arial Narrow" w:hAnsi="Arial Narrow" w:cs="Helvetica"/>
          <w:sz w:val="22"/>
          <w:szCs w:val="22"/>
        </w:rPr>
        <w:t xml:space="preserve"> para Pymes</w:t>
      </w:r>
      <w:r w:rsidRPr="00CE3AFE">
        <w:rPr>
          <w:rFonts w:ascii="Arial Narrow" w:hAnsi="Arial Narrow" w:cs="Helvetica"/>
          <w:sz w:val="22"/>
          <w:szCs w:val="22"/>
        </w:rPr>
        <w:t xml:space="preserve"> seg</w:t>
      </w:r>
      <w:r w:rsidR="00175BBC" w:rsidRPr="00CE3AFE">
        <w:rPr>
          <w:rFonts w:ascii="Arial Narrow" w:hAnsi="Arial Narrow" w:cs="Helvetica"/>
          <w:sz w:val="22"/>
          <w:szCs w:val="22"/>
        </w:rPr>
        <w:t>ún lo que se señala en las Notas a</w:t>
      </w:r>
      <w:r w:rsidRPr="00CE3AFE">
        <w:rPr>
          <w:rFonts w:ascii="Arial Narrow" w:hAnsi="Arial Narrow" w:cs="Helvetica"/>
          <w:sz w:val="22"/>
          <w:szCs w:val="22"/>
        </w:rPr>
        <w:t xml:space="preserve"> los Estados Financieros.</w:t>
      </w:r>
    </w:p>
    <w:p w:rsidR="00175BBC" w:rsidRPr="00CE3AFE" w:rsidRDefault="00175BBC" w:rsidP="00175BBC">
      <w:pPr>
        <w:pStyle w:val="Default"/>
        <w:jc w:val="both"/>
        <w:rPr>
          <w:rFonts w:ascii="Arial Narrow" w:hAnsi="Arial Narrow" w:cs="Helvetica"/>
          <w:sz w:val="22"/>
          <w:szCs w:val="22"/>
        </w:rPr>
      </w:pPr>
    </w:p>
    <w:p w:rsidR="00175BBC" w:rsidRDefault="00175BBC" w:rsidP="00175BBC">
      <w:pPr>
        <w:pStyle w:val="Default"/>
        <w:jc w:val="both"/>
        <w:rPr>
          <w:rFonts w:ascii="Arial Narrow" w:hAnsi="Arial Narrow" w:cs="Helvetica"/>
          <w:sz w:val="22"/>
          <w:szCs w:val="22"/>
        </w:rPr>
      </w:pPr>
      <w:r w:rsidRPr="00CE3AFE">
        <w:rPr>
          <w:rFonts w:ascii="Arial Narrow" w:hAnsi="Arial Narrow" w:cs="Helvetica"/>
          <w:sz w:val="22"/>
          <w:szCs w:val="22"/>
        </w:rPr>
        <w:t>No existen diferencias significativas entre los valores de libro de los activos y sus val</w:t>
      </w:r>
      <w:r w:rsidR="007811B7">
        <w:rPr>
          <w:rFonts w:ascii="Arial Narrow" w:hAnsi="Arial Narrow" w:cs="Helvetica"/>
          <w:sz w:val="22"/>
          <w:szCs w:val="22"/>
        </w:rPr>
        <w:t>ores de mercado o justo.</w:t>
      </w:r>
    </w:p>
    <w:p w:rsidR="007811B7" w:rsidRDefault="007811B7" w:rsidP="00175BBC">
      <w:pPr>
        <w:pStyle w:val="Default"/>
        <w:jc w:val="both"/>
        <w:rPr>
          <w:rFonts w:ascii="Arial Narrow" w:hAnsi="Arial Narrow" w:cs="Helvetica"/>
          <w:sz w:val="22"/>
          <w:szCs w:val="22"/>
        </w:rPr>
      </w:pPr>
    </w:p>
    <w:p w:rsidR="007811B7" w:rsidRPr="00CE3AFE" w:rsidRDefault="007811B7" w:rsidP="00175BBC">
      <w:pPr>
        <w:pStyle w:val="Default"/>
        <w:jc w:val="both"/>
        <w:rPr>
          <w:rFonts w:ascii="Arial Narrow" w:hAnsi="Arial Narrow" w:cs="Helvetica"/>
          <w:sz w:val="22"/>
          <w:szCs w:val="22"/>
        </w:rPr>
      </w:pPr>
      <w:r>
        <w:rPr>
          <w:rFonts w:ascii="Arial Narrow" w:hAnsi="Arial Narrow" w:cs="Helvetica"/>
          <w:sz w:val="22"/>
          <w:szCs w:val="22"/>
        </w:rPr>
        <w:t>La sociedad no ha valorizado el intangible asociado a la señal de televisión, el cual muy probablemente tenga un valor justo o de mercado que permitiría paliar las pérdidas existentes o mejorar las condiciones patrimoniales existentes.</w:t>
      </w:r>
    </w:p>
    <w:sectPr w:rsidR="007811B7" w:rsidRPr="00CE3AFE" w:rsidSect="002C638E">
      <w:type w:val="continuous"/>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07AF6"/>
    <w:multiLevelType w:val="hybridMultilevel"/>
    <w:tmpl w:val="0B421DC2"/>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38E"/>
    <w:rsid w:val="00020682"/>
    <w:rsid w:val="00025E97"/>
    <w:rsid w:val="00041A63"/>
    <w:rsid w:val="00042FAD"/>
    <w:rsid w:val="0009624A"/>
    <w:rsid w:val="000A0C68"/>
    <w:rsid w:val="000A28B8"/>
    <w:rsid w:val="000E1162"/>
    <w:rsid w:val="00142077"/>
    <w:rsid w:val="00166175"/>
    <w:rsid w:val="00175BBC"/>
    <w:rsid w:val="00185298"/>
    <w:rsid w:val="001B7FD6"/>
    <w:rsid w:val="001E708B"/>
    <w:rsid w:val="001F7600"/>
    <w:rsid w:val="00210B96"/>
    <w:rsid w:val="00247117"/>
    <w:rsid w:val="00256079"/>
    <w:rsid w:val="00256679"/>
    <w:rsid w:val="002B3E5A"/>
    <w:rsid w:val="002C638E"/>
    <w:rsid w:val="002D7FEA"/>
    <w:rsid w:val="00312A97"/>
    <w:rsid w:val="00350081"/>
    <w:rsid w:val="0035529D"/>
    <w:rsid w:val="003E7C92"/>
    <w:rsid w:val="00407308"/>
    <w:rsid w:val="00440C6A"/>
    <w:rsid w:val="004513EB"/>
    <w:rsid w:val="004D6C81"/>
    <w:rsid w:val="00513F7A"/>
    <w:rsid w:val="00570106"/>
    <w:rsid w:val="005962CD"/>
    <w:rsid w:val="005C6005"/>
    <w:rsid w:val="00632A4B"/>
    <w:rsid w:val="006B3091"/>
    <w:rsid w:val="006B5737"/>
    <w:rsid w:val="006E7B4E"/>
    <w:rsid w:val="007552F6"/>
    <w:rsid w:val="007811B7"/>
    <w:rsid w:val="0079601F"/>
    <w:rsid w:val="007C4493"/>
    <w:rsid w:val="007D712D"/>
    <w:rsid w:val="007F48DB"/>
    <w:rsid w:val="008031D2"/>
    <w:rsid w:val="00813D09"/>
    <w:rsid w:val="00823B3D"/>
    <w:rsid w:val="00836C87"/>
    <w:rsid w:val="00844FAA"/>
    <w:rsid w:val="00893E62"/>
    <w:rsid w:val="008E3690"/>
    <w:rsid w:val="00964AC7"/>
    <w:rsid w:val="009678FC"/>
    <w:rsid w:val="00980966"/>
    <w:rsid w:val="009A3821"/>
    <w:rsid w:val="009A524B"/>
    <w:rsid w:val="009B7D03"/>
    <w:rsid w:val="00A4557B"/>
    <w:rsid w:val="00A777B3"/>
    <w:rsid w:val="00AE156A"/>
    <w:rsid w:val="00AE18D4"/>
    <w:rsid w:val="00AF6812"/>
    <w:rsid w:val="00B22E6C"/>
    <w:rsid w:val="00B236F4"/>
    <w:rsid w:val="00B50C1D"/>
    <w:rsid w:val="00B72AE2"/>
    <w:rsid w:val="00B753E0"/>
    <w:rsid w:val="00B83A6F"/>
    <w:rsid w:val="00B87534"/>
    <w:rsid w:val="00B958E8"/>
    <w:rsid w:val="00BA2C93"/>
    <w:rsid w:val="00BE4365"/>
    <w:rsid w:val="00C054E8"/>
    <w:rsid w:val="00C11868"/>
    <w:rsid w:val="00C32CFC"/>
    <w:rsid w:val="00C40B2C"/>
    <w:rsid w:val="00C42BF3"/>
    <w:rsid w:val="00C4313D"/>
    <w:rsid w:val="00C576EC"/>
    <w:rsid w:val="00C82D9D"/>
    <w:rsid w:val="00CB084F"/>
    <w:rsid w:val="00CC2880"/>
    <w:rsid w:val="00CD422A"/>
    <w:rsid w:val="00CE3AFE"/>
    <w:rsid w:val="00CF081B"/>
    <w:rsid w:val="00D17125"/>
    <w:rsid w:val="00D34548"/>
    <w:rsid w:val="00D5421F"/>
    <w:rsid w:val="00DE48C7"/>
    <w:rsid w:val="00E21CCE"/>
    <w:rsid w:val="00E74990"/>
    <w:rsid w:val="00EC3FDA"/>
    <w:rsid w:val="00ED3193"/>
    <w:rsid w:val="00EF73C0"/>
    <w:rsid w:val="00F02019"/>
    <w:rsid w:val="00F14C7A"/>
    <w:rsid w:val="00F41E41"/>
    <w:rsid w:val="00FA112E"/>
    <w:rsid w:val="00FC34B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9A7841-0CBC-4501-A4BC-A663CE080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2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C638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C638E"/>
    <w:rPr>
      <w:rFonts w:ascii="Tahoma" w:hAnsi="Tahoma" w:cs="Tahoma"/>
      <w:sz w:val="16"/>
      <w:szCs w:val="16"/>
    </w:rPr>
  </w:style>
  <w:style w:type="paragraph" w:customStyle="1" w:styleId="Default">
    <w:name w:val="Default"/>
    <w:rsid w:val="002C638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737593">
      <w:bodyDiv w:val="1"/>
      <w:marLeft w:val="0"/>
      <w:marRight w:val="0"/>
      <w:marTop w:val="0"/>
      <w:marBottom w:val="0"/>
      <w:divBdr>
        <w:top w:val="none" w:sz="0" w:space="0" w:color="auto"/>
        <w:left w:val="none" w:sz="0" w:space="0" w:color="auto"/>
        <w:bottom w:val="none" w:sz="0" w:space="0" w:color="auto"/>
        <w:right w:val="none" w:sz="0" w:space="0" w:color="auto"/>
      </w:divBdr>
    </w:div>
    <w:div w:id="155912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oleObject" Target="embeddings/Hoja_de_c_lculo_de_Microsoft_Excel_97-20033.xls"/><Relationship Id="rId18" Type="http://schemas.openxmlformats.org/officeDocument/2006/relationships/image" Target="media/image7.emf"/><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oleObject" Target="embeddings/Hoja_de_c_lculo_de_Microsoft_Excel_97-2003.xls"/><Relationship Id="rId12" Type="http://schemas.openxmlformats.org/officeDocument/2006/relationships/image" Target="media/image4.emf"/><Relationship Id="rId17" Type="http://schemas.openxmlformats.org/officeDocument/2006/relationships/oleObject" Target="embeddings/Hoja_de_c_lculo_de_Microsoft_Excel_97-20034.xls"/><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oleObject" Target="embeddings/Hoja_de_c_lculo_de_Microsoft_Excel_97-20032.xls"/><Relationship Id="rId5" Type="http://schemas.openxmlformats.org/officeDocument/2006/relationships/webSettings" Target="webSettings.xml"/><Relationship Id="rId15" Type="http://schemas.openxmlformats.org/officeDocument/2006/relationships/package" Target="embeddings/Hoja_de_c_lculo_de_Microsoft_Excel.xlsx"/><Relationship Id="rId23"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oleObject" Target="embeddings/Hoja_de_c_lculo_de_Microsoft_Excel_97-20035.xls"/><Relationship Id="rId4" Type="http://schemas.openxmlformats.org/officeDocument/2006/relationships/settings" Target="settings.xml"/><Relationship Id="rId9" Type="http://schemas.openxmlformats.org/officeDocument/2006/relationships/oleObject" Target="embeddings/Hoja_de_c_lculo_de_Microsoft_Excel_97-20031.xls"/><Relationship Id="rId14" Type="http://schemas.openxmlformats.org/officeDocument/2006/relationships/image" Target="media/image5.emf"/><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4D341E-4BDD-42FB-B52F-CD77BA287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2012</Words>
  <Characters>11067</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13053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Anríquez Pérez Catalina Andrea</cp:lastModifiedBy>
  <cp:revision>2</cp:revision>
  <dcterms:created xsi:type="dcterms:W3CDTF">2020-06-04T18:41:00Z</dcterms:created>
  <dcterms:modified xsi:type="dcterms:W3CDTF">2020-06-04T18:41:00Z</dcterms:modified>
</cp:coreProperties>
</file>